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E54D0B" w:rsidRPr="00BC2009" w:rsidTr="00362413">
        <w:trPr>
          <w:gridAfter w:val="1"/>
          <w:wAfter w:w="14" w:type="dxa"/>
          <w:trHeight w:val="1674"/>
        </w:trPr>
        <w:tc>
          <w:tcPr>
            <w:tcW w:w="9228" w:type="dxa"/>
            <w:shd w:val="clear" w:color="auto" w:fill="auto"/>
          </w:tcPr>
          <w:p w:rsidR="00DC5886" w:rsidRPr="00DC5886" w:rsidRDefault="00DC5886" w:rsidP="00DC5886">
            <w:pPr>
              <w:jc w:val="center"/>
              <w:rPr>
                <w:rFonts w:ascii="Arial Black" w:hAnsi="Arial Black"/>
                <w:sz w:val="24"/>
                <w:szCs w:val="24"/>
              </w:rPr>
            </w:pPr>
            <w:bookmarkStart w:id="0" w:name="_GoBack"/>
            <w:bookmarkEnd w:id="0"/>
            <w:r w:rsidRPr="00DC5886">
              <w:rPr>
                <w:rFonts w:ascii="Arial Black" w:hAnsi="Arial Black"/>
                <w:sz w:val="24"/>
                <w:szCs w:val="24"/>
              </w:rPr>
              <w:t>Report of Head of Planning and Regeneration</w:t>
            </w:r>
          </w:p>
          <w:p w:rsidR="00DC5886" w:rsidRPr="00DC5886" w:rsidRDefault="00DC5886" w:rsidP="00DC5886">
            <w:pPr>
              <w:jc w:val="center"/>
              <w:rPr>
                <w:rFonts w:ascii="Arial Black" w:hAnsi="Arial Black"/>
                <w:sz w:val="24"/>
                <w:szCs w:val="24"/>
              </w:rPr>
            </w:pPr>
            <w:r w:rsidRPr="00DC5886">
              <w:rPr>
                <w:rFonts w:ascii="Arial Black" w:hAnsi="Arial Black"/>
                <w:sz w:val="24"/>
                <w:szCs w:val="24"/>
              </w:rPr>
              <w:t>To</w:t>
            </w:r>
          </w:p>
          <w:p w:rsidR="00E54D0B" w:rsidRPr="00BC2009" w:rsidRDefault="00E138C1" w:rsidP="00362413">
            <w:pPr>
              <w:jc w:val="center"/>
              <w:rPr>
                <w:rFonts w:ascii="Arial Black" w:hAnsi="Arial Black"/>
                <w:sz w:val="24"/>
                <w:szCs w:val="24"/>
              </w:rPr>
            </w:pPr>
            <w:r>
              <w:rPr>
                <w:rFonts w:ascii="Arial Black" w:hAnsi="Arial Black"/>
                <w:sz w:val="24"/>
                <w:szCs w:val="24"/>
              </w:rPr>
              <w:t>Report</w:t>
            </w:r>
            <w:r w:rsidR="00E54D0B">
              <w:rPr>
                <w:rFonts w:ascii="Arial Black" w:hAnsi="Arial Black"/>
                <w:sz w:val="24"/>
                <w:szCs w:val="24"/>
              </w:rPr>
              <w:t xml:space="preserve"> t</w:t>
            </w:r>
            <w:r w:rsidR="00E54D0B" w:rsidRPr="00BC2009">
              <w:rPr>
                <w:rFonts w:ascii="Arial Black" w:hAnsi="Arial Black"/>
                <w:sz w:val="24"/>
                <w:szCs w:val="24"/>
              </w:rPr>
              <w:t>o</w:t>
            </w:r>
          </w:p>
          <w:p w:rsidR="00E54D0B" w:rsidRDefault="00E54D0B" w:rsidP="00362413">
            <w:pPr>
              <w:jc w:val="center"/>
              <w:rPr>
                <w:rFonts w:ascii="Arial Black" w:hAnsi="Arial Black"/>
                <w:sz w:val="24"/>
                <w:szCs w:val="24"/>
              </w:rPr>
            </w:pPr>
            <w:r w:rsidRPr="00E54D0B">
              <w:rPr>
                <w:rFonts w:ascii="Arial Black" w:hAnsi="Arial Black"/>
                <w:sz w:val="24"/>
                <w:szCs w:val="24"/>
              </w:rPr>
              <w:t>Overview &amp; Scrutiny Committee (Place)</w:t>
            </w:r>
          </w:p>
          <w:p w:rsidR="00E54D0B" w:rsidRPr="00BC2009" w:rsidRDefault="00E54D0B" w:rsidP="00362413">
            <w:pPr>
              <w:jc w:val="center"/>
              <w:rPr>
                <w:rFonts w:ascii="Arial Black" w:hAnsi="Arial Black"/>
                <w:sz w:val="24"/>
                <w:szCs w:val="24"/>
              </w:rPr>
            </w:pPr>
            <w:r>
              <w:rPr>
                <w:rFonts w:ascii="Arial Black" w:hAnsi="Arial Black"/>
                <w:sz w:val="24"/>
                <w:szCs w:val="24"/>
              </w:rPr>
              <w:t>14 June 2022</w:t>
            </w:r>
          </w:p>
        </w:tc>
      </w:tr>
      <w:tr w:rsidR="00E54D0B" w:rsidRPr="00BC2009" w:rsidTr="00362413">
        <w:trPr>
          <w:gridAfter w:val="1"/>
          <w:wAfter w:w="14" w:type="dxa"/>
        </w:trPr>
        <w:tc>
          <w:tcPr>
            <w:tcW w:w="9228" w:type="dxa"/>
            <w:shd w:val="clear" w:color="auto" w:fill="auto"/>
          </w:tcPr>
          <w:p w:rsidR="00E54D0B" w:rsidRPr="00BC2009" w:rsidRDefault="00E54D0B" w:rsidP="00362413">
            <w:pPr>
              <w:jc w:val="center"/>
              <w:rPr>
                <w:rFonts w:ascii="Arial Black" w:hAnsi="Arial Black"/>
                <w:sz w:val="24"/>
                <w:szCs w:val="24"/>
              </w:rPr>
            </w:pPr>
          </w:p>
        </w:tc>
      </w:tr>
      <w:tr w:rsidR="00E54D0B" w:rsidRPr="00BC2009" w:rsidTr="00362413">
        <w:tc>
          <w:tcPr>
            <w:tcW w:w="9242" w:type="dxa"/>
            <w:gridSpan w:val="2"/>
            <w:tcBorders>
              <w:top w:val="single" w:sz="24" w:space="0" w:color="auto"/>
              <w:bottom w:val="single" w:sz="24" w:space="0" w:color="auto"/>
            </w:tcBorders>
            <w:shd w:val="clear" w:color="auto" w:fill="auto"/>
          </w:tcPr>
          <w:p w:rsidR="00E54D0B" w:rsidRDefault="00E54D0B" w:rsidP="00362413">
            <w:pPr>
              <w:jc w:val="center"/>
              <w:rPr>
                <w:rFonts w:cs="Arial"/>
                <w:b/>
                <w:sz w:val="24"/>
                <w:szCs w:val="24"/>
              </w:rPr>
            </w:pPr>
          </w:p>
          <w:p w:rsidR="00E54D0B" w:rsidRDefault="00E54D0B" w:rsidP="00362413">
            <w:pPr>
              <w:jc w:val="center"/>
              <w:rPr>
                <w:rFonts w:cs="Arial"/>
                <w:b/>
                <w:sz w:val="24"/>
                <w:szCs w:val="24"/>
              </w:rPr>
            </w:pPr>
            <w:r>
              <w:rPr>
                <w:rFonts w:cs="Arial"/>
                <w:b/>
                <w:sz w:val="24"/>
                <w:szCs w:val="24"/>
              </w:rPr>
              <w:t>Draft Sustainable Drainage Systems (</w:t>
            </w:r>
            <w:proofErr w:type="spellStart"/>
            <w:r>
              <w:rPr>
                <w:rFonts w:cs="Arial"/>
                <w:b/>
                <w:sz w:val="24"/>
                <w:szCs w:val="24"/>
              </w:rPr>
              <w:t>SuDS</w:t>
            </w:r>
            <w:proofErr w:type="spellEnd"/>
            <w:r>
              <w:rPr>
                <w:rFonts w:cs="Arial"/>
                <w:b/>
                <w:sz w:val="24"/>
                <w:szCs w:val="24"/>
              </w:rPr>
              <w:t xml:space="preserve">) Supplementary Planning Document (SPD) </w:t>
            </w:r>
          </w:p>
          <w:p w:rsidR="00E54D0B" w:rsidRPr="00BC2009" w:rsidRDefault="00E54D0B" w:rsidP="00362413">
            <w:pPr>
              <w:jc w:val="center"/>
              <w:rPr>
                <w:rFonts w:cs="Arial"/>
                <w:b/>
                <w:sz w:val="24"/>
                <w:szCs w:val="24"/>
              </w:rPr>
            </w:pPr>
          </w:p>
        </w:tc>
      </w:tr>
    </w:tbl>
    <w:p w:rsidR="00E54D0B" w:rsidRPr="00531CC4" w:rsidRDefault="00E54D0B" w:rsidP="00E54D0B">
      <w:pPr>
        <w:jc w:val="left"/>
        <w:rPr>
          <w:b/>
          <w:sz w:val="24"/>
          <w:szCs w:val="24"/>
        </w:rPr>
      </w:pPr>
    </w:p>
    <w:p w:rsidR="00E54D0B" w:rsidRDefault="00E54D0B" w:rsidP="00E54D0B">
      <w:pPr>
        <w:pStyle w:val="ListParagraph"/>
        <w:numPr>
          <w:ilvl w:val="0"/>
          <w:numId w:val="2"/>
        </w:numPr>
        <w:ind w:left="709" w:hanging="720"/>
        <w:jc w:val="left"/>
        <w:rPr>
          <w:b/>
          <w:sz w:val="24"/>
          <w:szCs w:val="24"/>
        </w:rPr>
      </w:pPr>
      <w:r w:rsidRPr="00B83560">
        <w:rPr>
          <w:b/>
          <w:sz w:val="24"/>
          <w:szCs w:val="24"/>
        </w:rPr>
        <w:t>SUMMARY</w:t>
      </w:r>
    </w:p>
    <w:p w:rsidR="009703DF" w:rsidRDefault="009703DF" w:rsidP="009703DF">
      <w:pPr>
        <w:pStyle w:val="ListParagraph"/>
        <w:ind w:left="709"/>
        <w:jc w:val="left"/>
        <w:rPr>
          <w:b/>
          <w:sz w:val="24"/>
          <w:szCs w:val="24"/>
        </w:rPr>
      </w:pPr>
    </w:p>
    <w:p w:rsidR="009703DF" w:rsidRDefault="009703DF" w:rsidP="009703DF">
      <w:pPr>
        <w:pStyle w:val="ListParagraph"/>
        <w:numPr>
          <w:ilvl w:val="1"/>
          <w:numId w:val="3"/>
        </w:numPr>
        <w:jc w:val="left"/>
        <w:rPr>
          <w:sz w:val="24"/>
          <w:szCs w:val="24"/>
        </w:rPr>
      </w:pPr>
      <w:r w:rsidRPr="00DB3C1C">
        <w:rPr>
          <w:sz w:val="24"/>
          <w:szCs w:val="24"/>
        </w:rPr>
        <w:t xml:space="preserve">The purpose of this briefing paper is to inform </w:t>
      </w:r>
      <w:r w:rsidRPr="00E54D0B">
        <w:rPr>
          <w:sz w:val="24"/>
          <w:szCs w:val="24"/>
        </w:rPr>
        <w:t>Overview &amp; Scrutiny Committee</w:t>
      </w:r>
      <w:r>
        <w:rPr>
          <w:sz w:val="24"/>
          <w:szCs w:val="24"/>
        </w:rPr>
        <w:t xml:space="preserve"> </w:t>
      </w:r>
      <w:r w:rsidRPr="00DB3C1C">
        <w:rPr>
          <w:sz w:val="24"/>
          <w:szCs w:val="24"/>
        </w:rPr>
        <w:t xml:space="preserve">about the preparation of </w:t>
      </w:r>
      <w:r>
        <w:rPr>
          <w:sz w:val="24"/>
          <w:szCs w:val="24"/>
        </w:rPr>
        <w:t>a</w:t>
      </w:r>
      <w:r w:rsidRPr="00DB3C1C">
        <w:rPr>
          <w:sz w:val="24"/>
          <w:szCs w:val="24"/>
        </w:rPr>
        <w:t xml:space="preserve"> </w:t>
      </w:r>
      <w:r>
        <w:rPr>
          <w:sz w:val="24"/>
          <w:szCs w:val="24"/>
        </w:rPr>
        <w:t xml:space="preserve">‘Draft </w:t>
      </w:r>
      <w:r w:rsidRPr="0059292C">
        <w:rPr>
          <w:sz w:val="24"/>
          <w:szCs w:val="24"/>
        </w:rPr>
        <w:t xml:space="preserve">Sustainable Drainage Systems </w:t>
      </w:r>
      <w:r w:rsidRPr="00DB3C1C">
        <w:rPr>
          <w:sz w:val="24"/>
          <w:szCs w:val="24"/>
        </w:rPr>
        <w:t>Supplementary Planning Document</w:t>
      </w:r>
      <w:r>
        <w:rPr>
          <w:sz w:val="24"/>
          <w:szCs w:val="24"/>
        </w:rPr>
        <w:t>’</w:t>
      </w:r>
      <w:r w:rsidRPr="00DB3C1C">
        <w:rPr>
          <w:sz w:val="24"/>
          <w:szCs w:val="24"/>
        </w:rPr>
        <w:t xml:space="preserve"> (SPD). Th</w:t>
      </w:r>
      <w:r>
        <w:rPr>
          <w:sz w:val="24"/>
          <w:szCs w:val="24"/>
        </w:rPr>
        <w:t xml:space="preserve">e draft SPD (which is appended to this paper) </w:t>
      </w:r>
      <w:r w:rsidRPr="00DB3C1C">
        <w:rPr>
          <w:sz w:val="24"/>
          <w:szCs w:val="24"/>
        </w:rPr>
        <w:t>set</w:t>
      </w:r>
      <w:r>
        <w:rPr>
          <w:sz w:val="24"/>
          <w:szCs w:val="24"/>
        </w:rPr>
        <w:t xml:space="preserve">s out more detailed guidance to elaborate on the </w:t>
      </w:r>
      <w:proofErr w:type="spellStart"/>
      <w:r>
        <w:rPr>
          <w:sz w:val="24"/>
          <w:szCs w:val="24"/>
        </w:rPr>
        <w:t>SuDS</w:t>
      </w:r>
      <w:proofErr w:type="spellEnd"/>
      <w:r>
        <w:rPr>
          <w:sz w:val="24"/>
          <w:szCs w:val="24"/>
        </w:rPr>
        <w:t xml:space="preserve"> policy (CC3) in the Local Plan and set out the C</w:t>
      </w:r>
      <w:r w:rsidRPr="00DB3C1C">
        <w:rPr>
          <w:sz w:val="24"/>
          <w:szCs w:val="24"/>
        </w:rPr>
        <w:t xml:space="preserve">ouncil’s approach to </w:t>
      </w:r>
      <w:r>
        <w:rPr>
          <w:sz w:val="24"/>
          <w:szCs w:val="24"/>
        </w:rPr>
        <w:t xml:space="preserve">delivering </w:t>
      </w:r>
      <w:proofErr w:type="spellStart"/>
      <w:r>
        <w:rPr>
          <w:sz w:val="24"/>
          <w:szCs w:val="24"/>
        </w:rPr>
        <w:t>SuDS</w:t>
      </w:r>
      <w:proofErr w:type="spellEnd"/>
      <w:r>
        <w:rPr>
          <w:sz w:val="24"/>
          <w:szCs w:val="24"/>
        </w:rPr>
        <w:t xml:space="preserve"> within the district</w:t>
      </w:r>
      <w:r w:rsidRPr="00DB3C1C">
        <w:rPr>
          <w:sz w:val="24"/>
          <w:szCs w:val="24"/>
        </w:rPr>
        <w:t>.</w:t>
      </w:r>
      <w:r>
        <w:rPr>
          <w:sz w:val="24"/>
          <w:szCs w:val="24"/>
        </w:rPr>
        <w:t xml:space="preserve"> </w:t>
      </w:r>
    </w:p>
    <w:p w:rsidR="009703DF" w:rsidRDefault="009703DF" w:rsidP="009703DF">
      <w:pPr>
        <w:pStyle w:val="ListParagraph"/>
        <w:jc w:val="left"/>
        <w:rPr>
          <w:sz w:val="24"/>
          <w:szCs w:val="24"/>
        </w:rPr>
      </w:pPr>
    </w:p>
    <w:p w:rsidR="009703DF" w:rsidRPr="00DB3C1C" w:rsidRDefault="009703DF" w:rsidP="009703DF">
      <w:pPr>
        <w:pStyle w:val="ListParagraph"/>
        <w:numPr>
          <w:ilvl w:val="1"/>
          <w:numId w:val="3"/>
        </w:numPr>
        <w:jc w:val="left"/>
        <w:rPr>
          <w:sz w:val="24"/>
          <w:szCs w:val="24"/>
        </w:rPr>
      </w:pPr>
      <w:r w:rsidRPr="009703DF">
        <w:rPr>
          <w:sz w:val="24"/>
          <w:szCs w:val="24"/>
        </w:rPr>
        <w:t>The key milestones for the preparation of the SPD are set out in the table at paragraph 4.1 of this report.</w:t>
      </w:r>
    </w:p>
    <w:p w:rsidR="009703DF" w:rsidRDefault="009703DF" w:rsidP="009703DF">
      <w:pPr>
        <w:pStyle w:val="ListParagraph"/>
        <w:ind w:left="709"/>
        <w:jc w:val="left"/>
        <w:rPr>
          <w:b/>
          <w:sz w:val="24"/>
          <w:szCs w:val="24"/>
        </w:rPr>
      </w:pPr>
    </w:p>
    <w:p w:rsidR="009703DF" w:rsidRDefault="009703DF" w:rsidP="009703DF">
      <w:pPr>
        <w:pStyle w:val="ListParagraph"/>
        <w:ind w:left="709"/>
        <w:jc w:val="left"/>
        <w:rPr>
          <w:b/>
          <w:sz w:val="24"/>
          <w:szCs w:val="24"/>
        </w:rPr>
      </w:pPr>
    </w:p>
    <w:p w:rsidR="009703DF" w:rsidRDefault="009703DF" w:rsidP="00E54D0B">
      <w:pPr>
        <w:pStyle w:val="ListParagraph"/>
        <w:numPr>
          <w:ilvl w:val="0"/>
          <w:numId w:val="2"/>
        </w:numPr>
        <w:ind w:left="709" w:hanging="720"/>
        <w:jc w:val="left"/>
        <w:rPr>
          <w:b/>
          <w:sz w:val="24"/>
          <w:szCs w:val="24"/>
        </w:rPr>
      </w:pPr>
      <w:r>
        <w:rPr>
          <w:b/>
          <w:sz w:val="24"/>
          <w:szCs w:val="24"/>
        </w:rPr>
        <w:t>RECOMMENDATION</w:t>
      </w:r>
    </w:p>
    <w:p w:rsidR="009703DF" w:rsidRDefault="009703DF" w:rsidP="009703DF">
      <w:pPr>
        <w:pStyle w:val="ListParagraph"/>
        <w:ind w:left="709"/>
        <w:jc w:val="left"/>
        <w:rPr>
          <w:b/>
          <w:sz w:val="24"/>
          <w:szCs w:val="24"/>
        </w:rPr>
      </w:pPr>
    </w:p>
    <w:p w:rsidR="009703DF" w:rsidRPr="009703DF" w:rsidRDefault="009703DF" w:rsidP="009703DF">
      <w:pPr>
        <w:pStyle w:val="ListParagraph"/>
        <w:numPr>
          <w:ilvl w:val="1"/>
          <w:numId w:val="2"/>
        </w:numPr>
        <w:ind w:left="709" w:hanging="709"/>
        <w:jc w:val="left"/>
        <w:rPr>
          <w:sz w:val="24"/>
          <w:szCs w:val="24"/>
        </w:rPr>
      </w:pPr>
      <w:r w:rsidRPr="009703DF">
        <w:rPr>
          <w:sz w:val="24"/>
          <w:szCs w:val="24"/>
        </w:rPr>
        <w:t xml:space="preserve">It is recommended that Overview and Scrutiny Committee (Place) note the content of the Draft Sustainable Drainage Systems SPD and provide any comments in relation to the draft SPD as part of the consultation that will take place </w:t>
      </w:r>
      <w:r>
        <w:rPr>
          <w:sz w:val="24"/>
          <w:szCs w:val="24"/>
        </w:rPr>
        <w:t>in July and August</w:t>
      </w:r>
      <w:r w:rsidRPr="009703DF">
        <w:rPr>
          <w:sz w:val="24"/>
          <w:szCs w:val="24"/>
        </w:rPr>
        <w:t xml:space="preserve"> 2022.</w:t>
      </w:r>
    </w:p>
    <w:p w:rsidR="00E54D0B" w:rsidRPr="00514433" w:rsidRDefault="00E54D0B" w:rsidP="00E54D0B">
      <w:pPr>
        <w:pStyle w:val="ListParagraph"/>
        <w:jc w:val="left"/>
        <w:rPr>
          <w:b/>
          <w:sz w:val="24"/>
          <w:szCs w:val="24"/>
        </w:rPr>
      </w:pPr>
    </w:p>
    <w:p w:rsidR="00E54D0B" w:rsidRDefault="00E54D0B" w:rsidP="00E54D0B">
      <w:pPr>
        <w:jc w:val="left"/>
        <w:rPr>
          <w:sz w:val="24"/>
          <w:szCs w:val="24"/>
        </w:rPr>
      </w:pPr>
    </w:p>
    <w:p w:rsidR="00E54D0B" w:rsidRPr="00E17C6E" w:rsidRDefault="00E54D0B" w:rsidP="00E54D0B">
      <w:pPr>
        <w:spacing w:after="240"/>
        <w:jc w:val="left"/>
        <w:rPr>
          <w:vanish/>
          <w:sz w:val="24"/>
          <w:szCs w:val="24"/>
        </w:rPr>
      </w:pPr>
    </w:p>
    <w:p w:rsidR="00E54D0B" w:rsidRPr="00514433" w:rsidRDefault="00E54D0B" w:rsidP="00E54D0B">
      <w:pPr>
        <w:pStyle w:val="ListParagraph"/>
        <w:numPr>
          <w:ilvl w:val="0"/>
          <w:numId w:val="1"/>
        </w:numPr>
        <w:spacing w:after="240"/>
        <w:ind w:left="0" w:firstLine="0"/>
        <w:contextualSpacing w:val="0"/>
        <w:jc w:val="left"/>
        <w:rPr>
          <w:vanish/>
          <w:sz w:val="24"/>
          <w:szCs w:val="24"/>
        </w:rPr>
      </w:pPr>
    </w:p>
    <w:p w:rsidR="00E54D0B" w:rsidRDefault="00E54D0B" w:rsidP="00E54D0B">
      <w:pPr>
        <w:pStyle w:val="ListParagraph"/>
        <w:numPr>
          <w:ilvl w:val="0"/>
          <w:numId w:val="2"/>
        </w:numPr>
        <w:ind w:left="0" w:firstLine="0"/>
        <w:jc w:val="left"/>
        <w:rPr>
          <w:b/>
          <w:sz w:val="24"/>
          <w:szCs w:val="24"/>
        </w:rPr>
      </w:pPr>
      <w:r w:rsidRPr="00514433">
        <w:rPr>
          <w:b/>
          <w:sz w:val="24"/>
          <w:szCs w:val="24"/>
        </w:rPr>
        <w:t>BACKGROUND</w:t>
      </w:r>
    </w:p>
    <w:p w:rsidR="00E54D0B" w:rsidRDefault="00E54D0B" w:rsidP="00E54D0B">
      <w:pPr>
        <w:jc w:val="left"/>
        <w:rPr>
          <w:b/>
          <w:sz w:val="24"/>
          <w:szCs w:val="24"/>
        </w:rPr>
      </w:pPr>
    </w:p>
    <w:p w:rsidR="00E54D0B" w:rsidRPr="009D3A0C" w:rsidRDefault="00E54D0B" w:rsidP="00E54D0B">
      <w:pPr>
        <w:jc w:val="left"/>
        <w:rPr>
          <w:sz w:val="24"/>
          <w:szCs w:val="24"/>
        </w:rPr>
      </w:pPr>
      <w:r>
        <w:rPr>
          <w:sz w:val="24"/>
          <w:szCs w:val="24"/>
          <w:u w:val="single"/>
        </w:rPr>
        <w:t>Purpose of the Supplementary Planning D</w:t>
      </w:r>
      <w:r w:rsidRPr="009D3A0C">
        <w:rPr>
          <w:sz w:val="24"/>
          <w:szCs w:val="24"/>
          <w:u w:val="single"/>
        </w:rPr>
        <w:t>ocument (SPD</w:t>
      </w:r>
      <w:r>
        <w:rPr>
          <w:sz w:val="24"/>
          <w:szCs w:val="24"/>
          <w:u w:val="single"/>
        </w:rPr>
        <w:t>)</w:t>
      </w:r>
    </w:p>
    <w:p w:rsidR="00E54D0B" w:rsidRPr="009D3A0C" w:rsidRDefault="00E54D0B" w:rsidP="00E54D0B">
      <w:pPr>
        <w:ind w:left="-360"/>
        <w:jc w:val="left"/>
        <w:rPr>
          <w:b/>
          <w:sz w:val="24"/>
          <w:szCs w:val="24"/>
        </w:rPr>
      </w:pPr>
    </w:p>
    <w:p w:rsidR="00E54D0B" w:rsidRDefault="00E54D0B" w:rsidP="00E54D0B">
      <w:pPr>
        <w:pStyle w:val="ListParagraph"/>
        <w:ind w:left="360"/>
        <w:jc w:val="left"/>
        <w:rPr>
          <w:b/>
          <w:sz w:val="24"/>
          <w:szCs w:val="24"/>
        </w:rPr>
      </w:pPr>
    </w:p>
    <w:p w:rsidR="00E54D0B" w:rsidRPr="003406A6" w:rsidRDefault="00E54D0B" w:rsidP="00E54D0B">
      <w:pPr>
        <w:pStyle w:val="ListParagraph"/>
        <w:numPr>
          <w:ilvl w:val="1"/>
          <w:numId w:val="2"/>
        </w:numPr>
        <w:ind w:left="709" w:hanging="709"/>
        <w:jc w:val="left"/>
        <w:rPr>
          <w:sz w:val="24"/>
          <w:szCs w:val="24"/>
        </w:rPr>
      </w:pPr>
      <w:r w:rsidRPr="003406A6">
        <w:rPr>
          <w:rFonts w:cs="Arial"/>
          <w:sz w:val="24"/>
          <w:szCs w:val="24"/>
        </w:rPr>
        <w:t>The Mansfield District Local Plan 2013 – 2033 was adopted on the 8</w:t>
      </w:r>
      <w:r w:rsidRPr="003406A6">
        <w:rPr>
          <w:rFonts w:cs="Arial"/>
          <w:sz w:val="24"/>
          <w:szCs w:val="24"/>
          <w:vertAlign w:val="superscript"/>
        </w:rPr>
        <w:t>th</w:t>
      </w:r>
      <w:r w:rsidRPr="003406A6">
        <w:rPr>
          <w:rFonts w:cs="Arial"/>
          <w:sz w:val="24"/>
          <w:szCs w:val="24"/>
        </w:rPr>
        <w:t xml:space="preserve"> September 2020.  The document forms part of the statutory development plan for the district and </w:t>
      </w:r>
      <w:r>
        <w:rPr>
          <w:rFonts w:cs="Arial"/>
          <w:sz w:val="24"/>
          <w:szCs w:val="24"/>
        </w:rPr>
        <w:t>is</w:t>
      </w:r>
      <w:r w:rsidRPr="003406A6">
        <w:rPr>
          <w:rFonts w:cs="Arial"/>
          <w:sz w:val="24"/>
          <w:szCs w:val="24"/>
        </w:rPr>
        <w:t xml:space="preserve"> used to guide development and inform decisions on planning applications. The Local Plan contains strategic</w:t>
      </w:r>
      <w:r>
        <w:rPr>
          <w:rFonts w:cs="Arial"/>
          <w:sz w:val="24"/>
          <w:szCs w:val="24"/>
        </w:rPr>
        <w:t xml:space="preserve"> and development management planning</w:t>
      </w:r>
      <w:r w:rsidRPr="003406A6">
        <w:rPr>
          <w:rFonts w:cs="Arial"/>
          <w:sz w:val="24"/>
          <w:szCs w:val="24"/>
        </w:rPr>
        <w:t xml:space="preserve"> policies</w:t>
      </w:r>
      <w:r>
        <w:rPr>
          <w:rFonts w:cs="Arial"/>
          <w:sz w:val="24"/>
          <w:szCs w:val="24"/>
        </w:rPr>
        <w:t>. M</w:t>
      </w:r>
      <w:r w:rsidRPr="003406A6">
        <w:rPr>
          <w:rFonts w:cs="Arial"/>
          <w:sz w:val="24"/>
          <w:szCs w:val="24"/>
        </w:rPr>
        <w:t xml:space="preserve">ore detailed guidance </w:t>
      </w:r>
      <w:r>
        <w:rPr>
          <w:rFonts w:cs="Arial"/>
          <w:sz w:val="24"/>
          <w:szCs w:val="24"/>
        </w:rPr>
        <w:t xml:space="preserve">is sometimes required and this is delivered </w:t>
      </w:r>
      <w:r w:rsidRPr="003406A6">
        <w:rPr>
          <w:rFonts w:cs="Arial"/>
          <w:sz w:val="24"/>
          <w:szCs w:val="24"/>
        </w:rPr>
        <w:t xml:space="preserve">through ‘Supplementary Planning Documents’ </w:t>
      </w:r>
      <w:r>
        <w:rPr>
          <w:rFonts w:cs="Arial"/>
          <w:sz w:val="24"/>
          <w:szCs w:val="24"/>
        </w:rPr>
        <w:t xml:space="preserve">which </w:t>
      </w:r>
      <w:r w:rsidRPr="003406A6">
        <w:rPr>
          <w:rFonts w:cs="Arial"/>
          <w:sz w:val="24"/>
          <w:szCs w:val="24"/>
        </w:rPr>
        <w:t xml:space="preserve">can be beneficial in setting out the Council’s aspirations for development. </w:t>
      </w:r>
    </w:p>
    <w:p w:rsidR="00E54D0B" w:rsidRPr="003406A6" w:rsidRDefault="00E54D0B" w:rsidP="00E54D0B">
      <w:pPr>
        <w:pStyle w:val="ListParagraph"/>
        <w:ind w:left="709"/>
        <w:jc w:val="left"/>
        <w:rPr>
          <w:sz w:val="24"/>
          <w:szCs w:val="24"/>
        </w:rPr>
      </w:pPr>
    </w:p>
    <w:p w:rsidR="00E54D0B" w:rsidRPr="006210BC" w:rsidRDefault="00E54D0B" w:rsidP="00E54D0B">
      <w:pPr>
        <w:pStyle w:val="ListParagraph"/>
        <w:numPr>
          <w:ilvl w:val="1"/>
          <w:numId w:val="2"/>
        </w:numPr>
        <w:ind w:left="709" w:hanging="709"/>
        <w:jc w:val="left"/>
        <w:rPr>
          <w:sz w:val="24"/>
          <w:szCs w:val="24"/>
        </w:rPr>
      </w:pPr>
      <w:r w:rsidRPr="003406A6">
        <w:rPr>
          <w:rFonts w:cs="Arial"/>
          <w:sz w:val="24"/>
          <w:szCs w:val="24"/>
        </w:rPr>
        <w:t xml:space="preserve">The Draft </w:t>
      </w:r>
      <w:proofErr w:type="spellStart"/>
      <w:r w:rsidRPr="003406A6">
        <w:rPr>
          <w:rFonts w:cs="Arial"/>
          <w:sz w:val="24"/>
          <w:szCs w:val="24"/>
        </w:rPr>
        <w:t>SuDS</w:t>
      </w:r>
      <w:proofErr w:type="spellEnd"/>
      <w:r w:rsidRPr="003406A6">
        <w:rPr>
          <w:rFonts w:cs="Arial"/>
          <w:sz w:val="24"/>
          <w:szCs w:val="24"/>
        </w:rPr>
        <w:t xml:space="preserve"> SPD supplements policy CC3 of the Mansfield District Local Plan 2013 – 2033</w:t>
      </w:r>
      <w:r>
        <w:rPr>
          <w:rFonts w:cs="Arial"/>
          <w:sz w:val="24"/>
          <w:szCs w:val="24"/>
        </w:rPr>
        <w:t xml:space="preserve">. This primarily seeks </w:t>
      </w:r>
      <w:r w:rsidRPr="007770CD">
        <w:rPr>
          <w:rFonts w:cs="Arial"/>
          <w:sz w:val="24"/>
          <w:szCs w:val="24"/>
        </w:rPr>
        <w:t>to secure measures that reduce and manage surface water to mini</w:t>
      </w:r>
      <w:r>
        <w:rPr>
          <w:rFonts w:cs="Arial"/>
          <w:sz w:val="24"/>
          <w:szCs w:val="24"/>
        </w:rPr>
        <w:t>mise the potential risk of flooding</w:t>
      </w:r>
      <w:r w:rsidRPr="003406A6">
        <w:rPr>
          <w:rFonts w:cs="Arial"/>
          <w:bCs/>
          <w:sz w:val="24"/>
          <w:szCs w:val="24"/>
        </w:rPr>
        <w:t>.</w:t>
      </w:r>
      <w:r w:rsidRPr="003406A6">
        <w:rPr>
          <w:rFonts w:cs="Arial"/>
          <w:sz w:val="24"/>
          <w:szCs w:val="24"/>
        </w:rPr>
        <w:t xml:space="preserve"> </w:t>
      </w:r>
      <w:r w:rsidRPr="003406A6">
        <w:rPr>
          <w:rFonts w:cs="Arial"/>
          <w:bCs/>
          <w:sz w:val="24"/>
          <w:szCs w:val="24"/>
        </w:rPr>
        <w:t xml:space="preserve">Although </w:t>
      </w:r>
      <w:r>
        <w:rPr>
          <w:rFonts w:cs="Arial"/>
          <w:bCs/>
          <w:sz w:val="24"/>
          <w:szCs w:val="24"/>
        </w:rPr>
        <w:t xml:space="preserve">the </w:t>
      </w:r>
      <w:r>
        <w:rPr>
          <w:rFonts w:cs="Arial"/>
          <w:bCs/>
          <w:sz w:val="24"/>
          <w:szCs w:val="24"/>
        </w:rPr>
        <w:lastRenderedPageBreak/>
        <w:t>SPD</w:t>
      </w:r>
      <w:r w:rsidRPr="003406A6">
        <w:rPr>
          <w:rFonts w:cs="Arial"/>
          <w:bCs/>
          <w:sz w:val="24"/>
          <w:szCs w:val="24"/>
        </w:rPr>
        <w:t xml:space="preserve"> is not part of the statutory development plan it </w:t>
      </w:r>
      <w:r>
        <w:rPr>
          <w:rFonts w:cs="Arial"/>
          <w:bCs/>
          <w:sz w:val="24"/>
          <w:szCs w:val="24"/>
        </w:rPr>
        <w:t>would</w:t>
      </w:r>
      <w:r w:rsidRPr="003406A6">
        <w:rPr>
          <w:rFonts w:cs="Arial"/>
          <w:bCs/>
          <w:sz w:val="24"/>
          <w:szCs w:val="24"/>
        </w:rPr>
        <w:t xml:space="preserve"> be a material consideration in </w:t>
      </w:r>
      <w:r>
        <w:rPr>
          <w:rFonts w:cs="Arial"/>
          <w:bCs/>
          <w:sz w:val="24"/>
          <w:szCs w:val="24"/>
        </w:rPr>
        <w:t>determining planning applications</w:t>
      </w:r>
      <w:r w:rsidRPr="003406A6">
        <w:rPr>
          <w:rFonts w:cs="Arial"/>
          <w:bCs/>
          <w:sz w:val="24"/>
          <w:szCs w:val="24"/>
        </w:rPr>
        <w:t>.</w:t>
      </w:r>
    </w:p>
    <w:p w:rsidR="00E54D0B" w:rsidRPr="006210BC" w:rsidRDefault="00E54D0B" w:rsidP="00E54D0B">
      <w:pPr>
        <w:pStyle w:val="ListParagraph"/>
        <w:rPr>
          <w:sz w:val="24"/>
          <w:szCs w:val="24"/>
        </w:rPr>
      </w:pPr>
    </w:p>
    <w:p w:rsidR="00E54D0B" w:rsidRPr="007770CD" w:rsidRDefault="00E54D0B" w:rsidP="00E54D0B">
      <w:pPr>
        <w:pStyle w:val="ListParagraph"/>
        <w:numPr>
          <w:ilvl w:val="1"/>
          <w:numId w:val="2"/>
        </w:numPr>
        <w:ind w:left="709" w:hanging="709"/>
        <w:jc w:val="left"/>
        <w:rPr>
          <w:sz w:val="24"/>
          <w:szCs w:val="24"/>
        </w:rPr>
      </w:pPr>
      <w:r>
        <w:rPr>
          <w:bCs/>
          <w:sz w:val="24"/>
          <w:szCs w:val="24"/>
        </w:rPr>
        <w:t xml:space="preserve">The SPD also </w:t>
      </w:r>
      <w:r w:rsidRPr="006210BC">
        <w:rPr>
          <w:bCs/>
          <w:sz w:val="24"/>
          <w:szCs w:val="24"/>
        </w:rPr>
        <w:t>seeks to complement and align with the ‘Mansfield Sustainable flood resilience - green recovery programme’</w:t>
      </w:r>
      <w:r>
        <w:rPr>
          <w:bCs/>
          <w:sz w:val="24"/>
          <w:szCs w:val="24"/>
        </w:rPr>
        <w:t>. This programme</w:t>
      </w:r>
      <w:r w:rsidRPr="006210BC">
        <w:rPr>
          <w:bCs/>
          <w:sz w:val="24"/>
          <w:szCs w:val="24"/>
        </w:rPr>
        <w:t xml:space="preserve"> </w:t>
      </w:r>
      <w:r>
        <w:rPr>
          <w:bCs/>
          <w:sz w:val="24"/>
          <w:szCs w:val="24"/>
        </w:rPr>
        <w:t>is being implemented by</w:t>
      </w:r>
      <w:r w:rsidRPr="006210BC">
        <w:rPr>
          <w:bCs/>
          <w:sz w:val="24"/>
          <w:szCs w:val="24"/>
        </w:rPr>
        <w:t xml:space="preserve"> Severn Trent Water Limited in partnership </w:t>
      </w:r>
      <w:r>
        <w:rPr>
          <w:bCs/>
          <w:sz w:val="24"/>
          <w:szCs w:val="24"/>
        </w:rPr>
        <w:t xml:space="preserve">with Mansfield District Council. </w:t>
      </w:r>
      <w:r w:rsidRPr="007770CD">
        <w:rPr>
          <w:bCs/>
          <w:sz w:val="24"/>
          <w:szCs w:val="24"/>
        </w:rPr>
        <w:t>Severn Trent Water Limited is in</w:t>
      </w:r>
      <w:r>
        <w:rPr>
          <w:bCs/>
          <w:sz w:val="24"/>
          <w:szCs w:val="24"/>
        </w:rPr>
        <w:t>vesting some £76m in the District using</w:t>
      </w:r>
      <w:r w:rsidRPr="007770CD">
        <w:rPr>
          <w:bCs/>
          <w:sz w:val="24"/>
          <w:szCs w:val="24"/>
        </w:rPr>
        <w:t xml:space="preserve"> </w:t>
      </w:r>
      <w:proofErr w:type="spellStart"/>
      <w:r>
        <w:rPr>
          <w:bCs/>
          <w:sz w:val="24"/>
          <w:szCs w:val="24"/>
        </w:rPr>
        <w:t>SuDS</w:t>
      </w:r>
      <w:proofErr w:type="spellEnd"/>
      <w:r w:rsidRPr="007770CD">
        <w:rPr>
          <w:bCs/>
          <w:sz w:val="24"/>
          <w:szCs w:val="24"/>
        </w:rPr>
        <w:t xml:space="preserve"> to </w:t>
      </w:r>
      <w:r>
        <w:rPr>
          <w:bCs/>
          <w:sz w:val="24"/>
          <w:szCs w:val="24"/>
        </w:rPr>
        <w:t xml:space="preserve">help </w:t>
      </w:r>
      <w:r w:rsidRPr="007770CD">
        <w:rPr>
          <w:bCs/>
          <w:sz w:val="24"/>
          <w:szCs w:val="24"/>
        </w:rPr>
        <w:t>alleviate the risk of flooding during storms</w:t>
      </w:r>
      <w:r>
        <w:rPr>
          <w:bCs/>
          <w:sz w:val="24"/>
          <w:szCs w:val="24"/>
        </w:rPr>
        <w:t xml:space="preserve">. The programme will deliver some </w:t>
      </w:r>
      <w:r w:rsidRPr="006210BC">
        <w:rPr>
          <w:bCs/>
          <w:sz w:val="24"/>
          <w:szCs w:val="24"/>
        </w:rPr>
        <w:t xml:space="preserve">15,000 </w:t>
      </w:r>
      <w:proofErr w:type="spellStart"/>
      <w:r>
        <w:rPr>
          <w:bCs/>
          <w:sz w:val="24"/>
          <w:szCs w:val="24"/>
        </w:rPr>
        <w:t>SuDS</w:t>
      </w:r>
      <w:proofErr w:type="spellEnd"/>
      <w:r w:rsidRPr="006210BC">
        <w:rPr>
          <w:bCs/>
          <w:sz w:val="24"/>
          <w:szCs w:val="24"/>
        </w:rPr>
        <w:t xml:space="preserve"> interventions </w:t>
      </w:r>
      <w:r w:rsidRPr="007770CD">
        <w:rPr>
          <w:bCs/>
          <w:sz w:val="24"/>
          <w:szCs w:val="24"/>
        </w:rPr>
        <w:t>to provide 58,000m</w:t>
      </w:r>
      <w:r w:rsidRPr="007770CD">
        <w:rPr>
          <w:bCs/>
          <w:sz w:val="24"/>
          <w:szCs w:val="24"/>
          <w:vertAlign w:val="superscript"/>
        </w:rPr>
        <w:t xml:space="preserve">3 </w:t>
      </w:r>
      <w:r>
        <w:rPr>
          <w:bCs/>
          <w:sz w:val="24"/>
          <w:szCs w:val="24"/>
          <w:vertAlign w:val="superscript"/>
        </w:rPr>
        <w:t xml:space="preserve">  </w:t>
      </w:r>
      <w:r>
        <w:rPr>
          <w:bCs/>
          <w:sz w:val="24"/>
          <w:szCs w:val="24"/>
        </w:rPr>
        <w:t xml:space="preserve"> of</w:t>
      </w:r>
      <w:r w:rsidRPr="0028620F">
        <w:rPr>
          <w:bCs/>
          <w:sz w:val="24"/>
          <w:szCs w:val="24"/>
        </w:rPr>
        <w:t xml:space="preserve"> </w:t>
      </w:r>
      <w:r w:rsidRPr="007770CD">
        <w:rPr>
          <w:bCs/>
          <w:sz w:val="24"/>
          <w:szCs w:val="24"/>
        </w:rPr>
        <w:t>surface water</w:t>
      </w:r>
      <w:r>
        <w:rPr>
          <w:bCs/>
          <w:sz w:val="24"/>
          <w:szCs w:val="24"/>
        </w:rPr>
        <w:t xml:space="preserve"> </w:t>
      </w:r>
      <w:r w:rsidRPr="007770CD">
        <w:rPr>
          <w:bCs/>
          <w:sz w:val="24"/>
          <w:szCs w:val="24"/>
        </w:rPr>
        <w:t xml:space="preserve">storage </w:t>
      </w:r>
      <w:r w:rsidRPr="003C70AF">
        <w:rPr>
          <w:bCs/>
          <w:sz w:val="24"/>
          <w:szCs w:val="24"/>
        </w:rPr>
        <w:t>(the equivalent to the volume of 23 Olympic size swimming pools)</w:t>
      </w:r>
      <w:r>
        <w:rPr>
          <w:bCs/>
          <w:sz w:val="24"/>
          <w:szCs w:val="24"/>
        </w:rPr>
        <w:t xml:space="preserve"> and minimising</w:t>
      </w:r>
      <w:r w:rsidRPr="006210BC">
        <w:rPr>
          <w:bCs/>
          <w:sz w:val="24"/>
          <w:szCs w:val="24"/>
        </w:rPr>
        <w:t xml:space="preserve"> </w:t>
      </w:r>
      <w:r>
        <w:rPr>
          <w:bCs/>
          <w:sz w:val="24"/>
          <w:szCs w:val="24"/>
        </w:rPr>
        <w:t>surface water directly entering the combined sewer</w:t>
      </w:r>
      <w:r w:rsidRPr="006210BC">
        <w:rPr>
          <w:bCs/>
          <w:sz w:val="24"/>
          <w:szCs w:val="24"/>
        </w:rPr>
        <w:t xml:space="preserve"> network.</w:t>
      </w:r>
    </w:p>
    <w:p w:rsidR="00E54D0B" w:rsidRPr="007770CD" w:rsidRDefault="00E54D0B" w:rsidP="00E54D0B">
      <w:pPr>
        <w:pStyle w:val="ListParagraph"/>
        <w:rPr>
          <w:sz w:val="24"/>
          <w:szCs w:val="24"/>
        </w:rPr>
      </w:pPr>
    </w:p>
    <w:p w:rsidR="00E54D0B" w:rsidRPr="00EF1E44" w:rsidRDefault="00E54D0B" w:rsidP="00E54D0B">
      <w:pPr>
        <w:pStyle w:val="ListParagraph"/>
        <w:numPr>
          <w:ilvl w:val="1"/>
          <w:numId w:val="2"/>
        </w:numPr>
        <w:ind w:left="709" w:hanging="709"/>
        <w:jc w:val="left"/>
        <w:rPr>
          <w:sz w:val="24"/>
          <w:szCs w:val="24"/>
        </w:rPr>
      </w:pPr>
      <w:r>
        <w:rPr>
          <w:bCs/>
          <w:sz w:val="24"/>
          <w:szCs w:val="24"/>
        </w:rPr>
        <w:t xml:space="preserve">The </w:t>
      </w:r>
      <w:proofErr w:type="spellStart"/>
      <w:r>
        <w:rPr>
          <w:bCs/>
          <w:sz w:val="24"/>
          <w:szCs w:val="24"/>
        </w:rPr>
        <w:t>SuDS</w:t>
      </w:r>
      <w:proofErr w:type="spellEnd"/>
      <w:r>
        <w:rPr>
          <w:bCs/>
          <w:sz w:val="24"/>
          <w:szCs w:val="24"/>
        </w:rPr>
        <w:t xml:space="preserve"> programme is funded </w:t>
      </w:r>
      <w:r w:rsidRPr="007770CD">
        <w:rPr>
          <w:bCs/>
          <w:sz w:val="24"/>
          <w:szCs w:val="24"/>
        </w:rPr>
        <w:t>up to March 2025</w:t>
      </w:r>
      <w:r>
        <w:rPr>
          <w:bCs/>
          <w:sz w:val="24"/>
          <w:szCs w:val="24"/>
        </w:rPr>
        <w:t xml:space="preserve">. The SPD alerts potential developers to the additional time-limited funding that is available to enhance the quality and effectiveness of </w:t>
      </w:r>
      <w:proofErr w:type="spellStart"/>
      <w:r>
        <w:rPr>
          <w:bCs/>
          <w:sz w:val="24"/>
          <w:szCs w:val="24"/>
        </w:rPr>
        <w:t>SuDS</w:t>
      </w:r>
      <w:proofErr w:type="spellEnd"/>
      <w:r>
        <w:rPr>
          <w:bCs/>
          <w:sz w:val="24"/>
          <w:szCs w:val="24"/>
        </w:rPr>
        <w:t xml:space="preserve"> above minimum standards. However, the SPD also seeks to set out the Council’s longer term aspirations for seeking high quality </w:t>
      </w:r>
      <w:proofErr w:type="spellStart"/>
      <w:r>
        <w:rPr>
          <w:bCs/>
          <w:sz w:val="24"/>
          <w:szCs w:val="24"/>
        </w:rPr>
        <w:t>SuDS</w:t>
      </w:r>
      <w:proofErr w:type="spellEnd"/>
      <w:r>
        <w:rPr>
          <w:bCs/>
          <w:sz w:val="24"/>
          <w:szCs w:val="24"/>
        </w:rPr>
        <w:t xml:space="preserve"> beyond the programme period. </w:t>
      </w:r>
    </w:p>
    <w:p w:rsidR="00E54D0B" w:rsidRPr="00EF1E44" w:rsidRDefault="00E54D0B" w:rsidP="00E54D0B">
      <w:pPr>
        <w:pStyle w:val="ListParagraph"/>
        <w:rPr>
          <w:rFonts w:cs="Arial"/>
          <w:sz w:val="24"/>
          <w:szCs w:val="24"/>
        </w:rPr>
      </w:pPr>
    </w:p>
    <w:p w:rsidR="00E54D0B" w:rsidRPr="00662E5E" w:rsidRDefault="00E54D0B" w:rsidP="00E54D0B">
      <w:pPr>
        <w:pStyle w:val="ListParagraph"/>
        <w:numPr>
          <w:ilvl w:val="1"/>
          <w:numId w:val="2"/>
        </w:numPr>
        <w:ind w:left="709" w:hanging="709"/>
        <w:jc w:val="left"/>
        <w:rPr>
          <w:sz w:val="24"/>
          <w:szCs w:val="24"/>
        </w:rPr>
      </w:pPr>
      <w:r w:rsidRPr="00EF1E44">
        <w:rPr>
          <w:rFonts w:cs="Arial"/>
          <w:sz w:val="24"/>
          <w:szCs w:val="24"/>
        </w:rPr>
        <w:t xml:space="preserve">The </w:t>
      </w:r>
      <w:proofErr w:type="spellStart"/>
      <w:r>
        <w:rPr>
          <w:rFonts w:cs="Arial"/>
          <w:sz w:val="24"/>
          <w:szCs w:val="24"/>
        </w:rPr>
        <w:t>SuDS</w:t>
      </w:r>
      <w:proofErr w:type="spellEnd"/>
      <w:r>
        <w:rPr>
          <w:rFonts w:cs="Arial"/>
          <w:sz w:val="24"/>
          <w:szCs w:val="24"/>
        </w:rPr>
        <w:t xml:space="preserve"> guidance</w:t>
      </w:r>
      <w:r w:rsidRPr="00EF1E44">
        <w:rPr>
          <w:rFonts w:cs="Arial"/>
          <w:sz w:val="24"/>
          <w:szCs w:val="24"/>
        </w:rPr>
        <w:t xml:space="preserve"> </w:t>
      </w:r>
      <w:r>
        <w:rPr>
          <w:rFonts w:cs="Arial"/>
          <w:sz w:val="24"/>
          <w:szCs w:val="24"/>
        </w:rPr>
        <w:t>is consistent with</w:t>
      </w:r>
      <w:r w:rsidRPr="00EF1E44">
        <w:rPr>
          <w:rFonts w:cs="Arial"/>
          <w:sz w:val="24"/>
          <w:szCs w:val="24"/>
        </w:rPr>
        <w:t xml:space="preserve"> </w:t>
      </w:r>
      <w:r>
        <w:rPr>
          <w:rFonts w:cs="Arial"/>
          <w:sz w:val="24"/>
          <w:szCs w:val="24"/>
        </w:rPr>
        <w:t xml:space="preserve">the </w:t>
      </w:r>
      <w:r w:rsidRPr="00EF1E44">
        <w:rPr>
          <w:rFonts w:cs="Arial"/>
          <w:sz w:val="24"/>
          <w:szCs w:val="24"/>
        </w:rPr>
        <w:t xml:space="preserve">overall aims of the National Planning Policy Framework 2021 (NPPF) and the Planning Practice Guidance </w:t>
      </w:r>
      <w:r>
        <w:rPr>
          <w:rFonts w:cs="Arial"/>
          <w:sz w:val="24"/>
          <w:szCs w:val="24"/>
        </w:rPr>
        <w:t xml:space="preserve">(PPG) </w:t>
      </w:r>
      <w:r w:rsidRPr="00EF1E44">
        <w:rPr>
          <w:rFonts w:cs="Arial"/>
          <w:sz w:val="24"/>
          <w:szCs w:val="24"/>
        </w:rPr>
        <w:t xml:space="preserve">by </w:t>
      </w:r>
      <w:r>
        <w:rPr>
          <w:rFonts w:cs="Arial"/>
          <w:sz w:val="24"/>
          <w:szCs w:val="24"/>
        </w:rPr>
        <w:t>seeking to deliver Sustainable Drainage and flood resilience.</w:t>
      </w:r>
      <w:r w:rsidRPr="00EF1E44">
        <w:rPr>
          <w:rFonts w:cs="Arial"/>
          <w:sz w:val="24"/>
          <w:szCs w:val="24"/>
        </w:rPr>
        <w:t xml:space="preserve"> </w:t>
      </w:r>
      <w:r>
        <w:rPr>
          <w:rFonts w:cs="Arial"/>
          <w:sz w:val="24"/>
          <w:szCs w:val="24"/>
        </w:rPr>
        <w:t xml:space="preserve">The SPD also seeks to encourage other benefits including: </w:t>
      </w:r>
    </w:p>
    <w:p w:rsidR="00E54D0B" w:rsidRPr="00662E5E" w:rsidRDefault="00E54D0B" w:rsidP="00E54D0B">
      <w:pPr>
        <w:pStyle w:val="ListParagraph"/>
        <w:rPr>
          <w:sz w:val="24"/>
          <w:szCs w:val="24"/>
        </w:rPr>
      </w:pPr>
    </w:p>
    <w:p w:rsidR="00E54D0B" w:rsidRPr="00662E5E" w:rsidRDefault="00E54D0B" w:rsidP="00E54D0B">
      <w:pPr>
        <w:pStyle w:val="ListParagraph"/>
        <w:numPr>
          <w:ilvl w:val="0"/>
          <w:numId w:val="4"/>
        </w:numPr>
        <w:rPr>
          <w:sz w:val="24"/>
          <w:szCs w:val="24"/>
        </w:rPr>
      </w:pPr>
      <w:r w:rsidRPr="00662E5E">
        <w:rPr>
          <w:sz w:val="24"/>
          <w:szCs w:val="24"/>
        </w:rPr>
        <w:t>Improved biodiversity</w:t>
      </w:r>
    </w:p>
    <w:p w:rsidR="00E54D0B" w:rsidRDefault="00E54D0B" w:rsidP="00E54D0B">
      <w:pPr>
        <w:pStyle w:val="ListParagraph"/>
        <w:numPr>
          <w:ilvl w:val="0"/>
          <w:numId w:val="4"/>
        </w:numPr>
        <w:rPr>
          <w:sz w:val="24"/>
          <w:szCs w:val="24"/>
        </w:rPr>
      </w:pPr>
      <w:r w:rsidRPr="00662E5E">
        <w:rPr>
          <w:sz w:val="24"/>
          <w:szCs w:val="24"/>
        </w:rPr>
        <w:t>Enhanced Green Infrastructure</w:t>
      </w:r>
    </w:p>
    <w:p w:rsidR="00E54D0B" w:rsidRPr="00662E5E" w:rsidRDefault="00E54D0B" w:rsidP="00E54D0B">
      <w:pPr>
        <w:pStyle w:val="ListParagraph"/>
        <w:numPr>
          <w:ilvl w:val="0"/>
          <w:numId w:val="4"/>
        </w:numPr>
        <w:rPr>
          <w:sz w:val="24"/>
          <w:szCs w:val="24"/>
        </w:rPr>
      </w:pPr>
      <w:r>
        <w:rPr>
          <w:sz w:val="24"/>
          <w:szCs w:val="24"/>
        </w:rPr>
        <w:t>Reduced water pollution</w:t>
      </w:r>
    </w:p>
    <w:p w:rsidR="00E54D0B" w:rsidRPr="00662E5E" w:rsidRDefault="00E54D0B" w:rsidP="00E54D0B">
      <w:pPr>
        <w:pStyle w:val="ListParagraph"/>
        <w:numPr>
          <w:ilvl w:val="0"/>
          <w:numId w:val="4"/>
        </w:numPr>
        <w:rPr>
          <w:sz w:val="24"/>
          <w:szCs w:val="24"/>
        </w:rPr>
      </w:pPr>
      <w:r w:rsidRPr="00662E5E">
        <w:rPr>
          <w:sz w:val="24"/>
          <w:szCs w:val="24"/>
        </w:rPr>
        <w:t xml:space="preserve">Public realm improvements, and </w:t>
      </w:r>
    </w:p>
    <w:p w:rsidR="00E54D0B" w:rsidRDefault="00E54D0B" w:rsidP="00E54D0B">
      <w:pPr>
        <w:pStyle w:val="ListParagraph"/>
        <w:numPr>
          <w:ilvl w:val="0"/>
          <w:numId w:val="4"/>
        </w:numPr>
        <w:rPr>
          <w:sz w:val="24"/>
          <w:szCs w:val="24"/>
        </w:rPr>
      </w:pPr>
      <w:r w:rsidRPr="00662E5E">
        <w:rPr>
          <w:sz w:val="24"/>
          <w:szCs w:val="24"/>
        </w:rPr>
        <w:t>Helping to provide resilience and adaptation to climate change</w:t>
      </w:r>
    </w:p>
    <w:p w:rsidR="00E54D0B" w:rsidRDefault="00E54D0B" w:rsidP="00E54D0B">
      <w:pPr>
        <w:rPr>
          <w:sz w:val="24"/>
          <w:szCs w:val="24"/>
        </w:rPr>
      </w:pPr>
    </w:p>
    <w:p w:rsidR="00E54D0B" w:rsidRPr="00662E5E" w:rsidRDefault="00E54D0B" w:rsidP="00E54D0B">
      <w:pPr>
        <w:rPr>
          <w:sz w:val="24"/>
          <w:szCs w:val="24"/>
        </w:rPr>
      </w:pPr>
      <w:r w:rsidRPr="00662E5E">
        <w:rPr>
          <w:sz w:val="24"/>
          <w:szCs w:val="24"/>
          <w:u w:val="single"/>
        </w:rPr>
        <w:t>Scope of the SPD</w:t>
      </w:r>
    </w:p>
    <w:p w:rsidR="00E54D0B" w:rsidRPr="00662E5E" w:rsidRDefault="00E54D0B" w:rsidP="00E54D0B">
      <w:pPr>
        <w:rPr>
          <w:sz w:val="24"/>
          <w:szCs w:val="24"/>
        </w:rPr>
      </w:pPr>
    </w:p>
    <w:p w:rsidR="00E54D0B" w:rsidRPr="00D90DF5" w:rsidRDefault="00E54D0B" w:rsidP="00E54D0B">
      <w:pPr>
        <w:pStyle w:val="ListParagraph"/>
        <w:numPr>
          <w:ilvl w:val="1"/>
          <w:numId w:val="2"/>
        </w:numPr>
        <w:ind w:left="709" w:hanging="709"/>
        <w:jc w:val="left"/>
        <w:rPr>
          <w:sz w:val="24"/>
          <w:szCs w:val="24"/>
        </w:rPr>
      </w:pPr>
      <w:r>
        <w:rPr>
          <w:rFonts w:eastAsia="Calibri" w:cs="Arial"/>
          <w:sz w:val="24"/>
          <w:szCs w:val="24"/>
          <w:lang w:eastAsia="en-US"/>
        </w:rPr>
        <w:t xml:space="preserve">The SPD sets out the legislative and policy context for the delivery of </w:t>
      </w:r>
      <w:proofErr w:type="spellStart"/>
      <w:r>
        <w:rPr>
          <w:rFonts w:eastAsia="Calibri" w:cs="Arial"/>
          <w:sz w:val="24"/>
          <w:szCs w:val="24"/>
          <w:lang w:eastAsia="en-US"/>
        </w:rPr>
        <w:t>SuDS</w:t>
      </w:r>
      <w:proofErr w:type="spellEnd"/>
      <w:r>
        <w:rPr>
          <w:rFonts w:eastAsia="Calibri" w:cs="Arial"/>
          <w:sz w:val="24"/>
          <w:szCs w:val="24"/>
          <w:lang w:eastAsia="en-US"/>
        </w:rPr>
        <w:t xml:space="preserve"> and the key principles underpinning their delivery. It gives an overview of the Severn Trent </w:t>
      </w:r>
      <w:r w:rsidRPr="00987D8E">
        <w:rPr>
          <w:rFonts w:eastAsia="Calibri" w:cs="Arial"/>
          <w:bCs/>
          <w:sz w:val="24"/>
          <w:szCs w:val="24"/>
          <w:lang w:eastAsia="en-US"/>
        </w:rPr>
        <w:t>Sustainable flood resilience programme</w:t>
      </w:r>
      <w:r>
        <w:rPr>
          <w:rFonts w:eastAsia="Calibri" w:cs="Arial"/>
          <w:bCs/>
          <w:sz w:val="24"/>
          <w:szCs w:val="24"/>
          <w:lang w:eastAsia="en-US"/>
        </w:rPr>
        <w:t>. The main scope of the</w:t>
      </w:r>
      <w:r w:rsidRPr="00987D8E">
        <w:rPr>
          <w:rFonts w:eastAsia="Calibri" w:cs="Arial"/>
          <w:bCs/>
          <w:sz w:val="24"/>
          <w:szCs w:val="24"/>
          <w:lang w:eastAsia="en-US"/>
        </w:rPr>
        <w:t xml:space="preserve"> </w:t>
      </w:r>
      <w:r>
        <w:rPr>
          <w:rFonts w:eastAsia="Calibri" w:cs="Arial"/>
          <w:bCs/>
          <w:sz w:val="24"/>
          <w:szCs w:val="24"/>
          <w:lang w:eastAsia="en-US"/>
        </w:rPr>
        <w:t>SPD is to provide more detailed policy guidance in relation to:</w:t>
      </w:r>
    </w:p>
    <w:p w:rsidR="00E54D0B" w:rsidRDefault="00E54D0B" w:rsidP="00E54D0B">
      <w:pPr>
        <w:jc w:val="left"/>
        <w:rPr>
          <w:sz w:val="24"/>
          <w:szCs w:val="24"/>
        </w:rPr>
      </w:pPr>
    </w:p>
    <w:p w:rsidR="00E54D0B" w:rsidRPr="00D90DF5" w:rsidRDefault="00E54D0B" w:rsidP="00E54D0B">
      <w:pPr>
        <w:numPr>
          <w:ilvl w:val="0"/>
          <w:numId w:val="5"/>
        </w:numPr>
        <w:ind w:left="1134"/>
        <w:jc w:val="left"/>
        <w:rPr>
          <w:sz w:val="24"/>
          <w:szCs w:val="24"/>
        </w:rPr>
      </w:pPr>
      <w:r w:rsidRPr="00D90DF5">
        <w:rPr>
          <w:sz w:val="24"/>
          <w:szCs w:val="24"/>
        </w:rPr>
        <w:t xml:space="preserve">Optimising opportunities for </w:t>
      </w:r>
      <w:proofErr w:type="spellStart"/>
      <w:r w:rsidRPr="00D90DF5">
        <w:rPr>
          <w:sz w:val="24"/>
          <w:szCs w:val="24"/>
        </w:rPr>
        <w:t>SuDS</w:t>
      </w:r>
      <w:proofErr w:type="spellEnd"/>
      <w:r w:rsidRPr="00D90DF5">
        <w:rPr>
          <w:sz w:val="24"/>
          <w:szCs w:val="24"/>
        </w:rPr>
        <w:t xml:space="preserve"> enhancements through the </w:t>
      </w:r>
      <w:r>
        <w:rPr>
          <w:sz w:val="24"/>
          <w:szCs w:val="24"/>
        </w:rPr>
        <w:t>‘</w:t>
      </w:r>
      <w:r w:rsidRPr="00D90DF5">
        <w:rPr>
          <w:sz w:val="24"/>
          <w:szCs w:val="24"/>
        </w:rPr>
        <w:t>Mansfield Sustainable flood resilience - Severn Trent green recovery programme</w:t>
      </w:r>
      <w:r>
        <w:rPr>
          <w:sz w:val="24"/>
          <w:szCs w:val="24"/>
        </w:rPr>
        <w:t>’</w:t>
      </w:r>
    </w:p>
    <w:p w:rsidR="00E54D0B" w:rsidRPr="00D90DF5" w:rsidRDefault="00E54D0B" w:rsidP="00E54D0B">
      <w:pPr>
        <w:numPr>
          <w:ilvl w:val="0"/>
          <w:numId w:val="5"/>
        </w:numPr>
        <w:ind w:left="1134"/>
        <w:jc w:val="left"/>
        <w:rPr>
          <w:sz w:val="24"/>
          <w:szCs w:val="24"/>
        </w:rPr>
      </w:pPr>
      <w:r>
        <w:rPr>
          <w:sz w:val="24"/>
          <w:szCs w:val="24"/>
        </w:rPr>
        <w:t>Prioritising and linking the most effective surface water drainage - t</w:t>
      </w:r>
      <w:r w:rsidRPr="00D90DF5">
        <w:rPr>
          <w:sz w:val="24"/>
          <w:szCs w:val="24"/>
        </w:rPr>
        <w:t xml:space="preserve">he </w:t>
      </w:r>
      <w:r>
        <w:rPr>
          <w:sz w:val="24"/>
          <w:szCs w:val="24"/>
        </w:rPr>
        <w:t>‘</w:t>
      </w:r>
      <w:proofErr w:type="spellStart"/>
      <w:r w:rsidRPr="00D90DF5">
        <w:rPr>
          <w:sz w:val="24"/>
          <w:szCs w:val="24"/>
        </w:rPr>
        <w:t>SuDS</w:t>
      </w:r>
      <w:proofErr w:type="spellEnd"/>
      <w:r w:rsidRPr="00D90DF5">
        <w:rPr>
          <w:sz w:val="24"/>
          <w:szCs w:val="24"/>
        </w:rPr>
        <w:t xml:space="preserve"> Management Train</w:t>
      </w:r>
      <w:r>
        <w:rPr>
          <w:sz w:val="24"/>
          <w:szCs w:val="24"/>
        </w:rPr>
        <w:t>’</w:t>
      </w:r>
    </w:p>
    <w:p w:rsidR="00E54D0B" w:rsidRPr="006E648C" w:rsidRDefault="00E54D0B" w:rsidP="00E54D0B">
      <w:pPr>
        <w:numPr>
          <w:ilvl w:val="0"/>
          <w:numId w:val="5"/>
        </w:numPr>
        <w:ind w:left="1134"/>
        <w:jc w:val="left"/>
        <w:rPr>
          <w:sz w:val="24"/>
          <w:szCs w:val="24"/>
        </w:rPr>
      </w:pPr>
      <w:r>
        <w:rPr>
          <w:sz w:val="24"/>
          <w:szCs w:val="24"/>
        </w:rPr>
        <w:t xml:space="preserve">The different types of </w:t>
      </w:r>
      <w:proofErr w:type="spellStart"/>
      <w:r>
        <w:rPr>
          <w:sz w:val="24"/>
          <w:szCs w:val="24"/>
        </w:rPr>
        <w:t>Su</w:t>
      </w:r>
      <w:r w:rsidRPr="00D90DF5">
        <w:rPr>
          <w:sz w:val="24"/>
          <w:szCs w:val="24"/>
        </w:rPr>
        <w:t>DS</w:t>
      </w:r>
      <w:proofErr w:type="spellEnd"/>
      <w:r w:rsidRPr="00D90DF5">
        <w:rPr>
          <w:sz w:val="24"/>
          <w:szCs w:val="24"/>
        </w:rPr>
        <w:t xml:space="preserve"> that could be </w:t>
      </w:r>
      <w:r>
        <w:rPr>
          <w:sz w:val="24"/>
          <w:szCs w:val="24"/>
        </w:rPr>
        <w:t xml:space="preserve">used </w:t>
      </w:r>
      <w:r w:rsidRPr="006E648C">
        <w:rPr>
          <w:sz w:val="24"/>
          <w:szCs w:val="24"/>
        </w:rPr>
        <w:t xml:space="preserve">on large </w:t>
      </w:r>
      <w:r>
        <w:rPr>
          <w:sz w:val="24"/>
          <w:szCs w:val="24"/>
        </w:rPr>
        <w:t xml:space="preserve">and small </w:t>
      </w:r>
      <w:r w:rsidRPr="006E648C">
        <w:rPr>
          <w:sz w:val="24"/>
          <w:szCs w:val="24"/>
        </w:rPr>
        <w:t>sites</w:t>
      </w:r>
    </w:p>
    <w:p w:rsidR="00E54D0B" w:rsidRPr="00D90DF5" w:rsidRDefault="00E54D0B" w:rsidP="00E54D0B">
      <w:pPr>
        <w:numPr>
          <w:ilvl w:val="0"/>
          <w:numId w:val="5"/>
        </w:numPr>
        <w:ind w:left="1134"/>
        <w:jc w:val="left"/>
        <w:rPr>
          <w:sz w:val="24"/>
          <w:szCs w:val="24"/>
        </w:rPr>
      </w:pPr>
      <w:r w:rsidRPr="00D90DF5">
        <w:rPr>
          <w:sz w:val="24"/>
          <w:szCs w:val="24"/>
        </w:rPr>
        <w:t xml:space="preserve">The </w:t>
      </w:r>
      <w:proofErr w:type="spellStart"/>
      <w:r w:rsidRPr="00D90DF5">
        <w:rPr>
          <w:sz w:val="24"/>
          <w:szCs w:val="24"/>
        </w:rPr>
        <w:t>SuDS</w:t>
      </w:r>
      <w:proofErr w:type="spellEnd"/>
      <w:r w:rsidRPr="00D90DF5">
        <w:rPr>
          <w:sz w:val="24"/>
          <w:szCs w:val="24"/>
        </w:rPr>
        <w:t xml:space="preserve"> ‘discharge hierarchy’</w:t>
      </w:r>
      <w:r>
        <w:rPr>
          <w:sz w:val="24"/>
          <w:szCs w:val="24"/>
        </w:rPr>
        <w:t xml:space="preserve"> – prioritising discharge through infiltration and not discharge to sewers</w:t>
      </w:r>
    </w:p>
    <w:p w:rsidR="00E54D0B" w:rsidRPr="00D90DF5" w:rsidRDefault="00E54D0B" w:rsidP="00E54D0B">
      <w:pPr>
        <w:numPr>
          <w:ilvl w:val="0"/>
          <w:numId w:val="5"/>
        </w:numPr>
        <w:ind w:left="1134"/>
        <w:jc w:val="left"/>
        <w:rPr>
          <w:sz w:val="24"/>
          <w:szCs w:val="24"/>
        </w:rPr>
      </w:pPr>
      <w:r>
        <w:rPr>
          <w:sz w:val="24"/>
          <w:szCs w:val="24"/>
        </w:rPr>
        <w:t xml:space="preserve">The design process for </w:t>
      </w:r>
      <w:proofErr w:type="spellStart"/>
      <w:r>
        <w:rPr>
          <w:sz w:val="24"/>
          <w:szCs w:val="24"/>
        </w:rPr>
        <w:t>Su</w:t>
      </w:r>
      <w:r w:rsidRPr="00D90DF5">
        <w:rPr>
          <w:sz w:val="24"/>
          <w:szCs w:val="24"/>
        </w:rPr>
        <w:t>DS</w:t>
      </w:r>
      <w:proofErr w:type="spellEnd"/>
      <w:r w:rsidRPr="00D90DF5">
        <w:rPr>
          <w:sz w:val="24"/>
          <w:szCs w:val="24"/>
        </w:rPr>
        <w:t xml:space="preserve"> </w:t>
      </w:r>
    </w:p>
    <w:p w:rsidR="00E54D0B" w:rsidRPr="00D90DF5" w:rsidRDefault="00E54D0B" w:rsidP="00E54D0B">
      <w:pPr>
        <w:numPr>
          <w:ilvl w:val="0"/>
          <w:numId w:val="5"/>
        </w:numPr>
        <w:ind w:left="1134"/>
        <w:jc w:val="left"/>
        <w:rPr>
          <w:sz w:val="24"/>
          <w:szCs w:val="24"/>
        </w:rPr>
      </w:pPr>
      <w:proofErr w:type="spellStart"/>
      <w:r w:rsidRPr="00D90DF5">
        <w:rPr>
          <w:sz w:val="24"/>
          <w:szCs w:val="24"/>
        </w:rPr>
        <w:t>SuDS</w:t>
      </w:r>
      <w:proofErr w:type="spellEnd"/>
      <w:r w:rsidRPr="00D90DF5">
        <w:rPr>
          <w:sz w:val="24"/>
          <w:szCs w:val="24"/>
        </w:rPr>
        <w:t xml:space="preserve"> on Previously Developed (Brownfield) Land</w:t>
      </w:r>
    </w:p>
    <w:p w:rsidR="00E54D0B" w:rsidRPr="00D90DF5" w:rsidRDefault="00E54D0B" w:rsidP="00E54D0B">
      <w:pPr>
        <w:numPr>
          <w:ilvl w:val="0"/>
          <w:numId w:val="5"/>
        </w:numPr>
        <w:ind w:left="1134"/>
        <w:jc w:val="left"/>
        <w:rPr>
          <w:sz w:val="24"/>
          <w:szCs w:val="24"/>
        </w:rPr>
      </w:pPr>
      <w:proofErr w:type="spellStart"/>
      <w:r w:rsidRPr="00D90DF5">
        <w:rPr>
          <w:sz w:val="24"/>
          <w:szCs w:val="24"/>
        </w:rPr>
        <w:t>SuDS</w:t>
      </w:r>
      <w:proofErr w:type="spellEnd"/>
      <w:r w:rsidRPr="00D90DF5">
        <w:rPr>
          <w:sz w:val="24"/>
          <w:szCs w:val="24"/>
        </w:rPr>
        <w:t xml:space="preserve"> on Greenfield sites</w:t>
      </w:r>
    </w:p>
    <w:p w:rsidR="00E54D0B" w:rsidRPr="00D90DF5" w:rsidRDefault="00E54D0B" w:rsidP="00E54D0B">
      <w:pPr>
        <w:numPr>
          <w:ilvl w:val="0"/>
          <w:numId w:val="5"/>
        </w:numPr>
        <w:ind w:left="1134"/>
        <w:jc w:val="left"/>
        <w:rPr>
          <w:sz w:val="24"/>
          <w:szCs w:val="24"/>
        </w:rPr>
      </w:pPr>
      <w:r>
        <w:rPr>
          <w:sz w:val="24"/>
          <w:szCs w:val="24"/>
        </w:rPr>
        <w:t>Securing high q</w:t>
      </w:r>
      <w:r w:rsidRPr="006E648C">
        <w:rPr>
          <w:sz w:val="24"/>
          <w:szCs w:val="24"/>
        </w:rPr>
        <w:t xml:space="preserve">uality </w:t>
      </w:r>
      <w:r>
        <w:rPr>
          <w:sz w:val="24"/>
          <w:szCs w:val="24"/>
        </w:rPr>
        <w:t>d</w:t>
      </w:r>
      <w:r w:rsidRPr="006E648C">
        <w:rPr>
          <w:sz w:val="24"/>
          <w:szCs w:val="24"/>
        </w:rPr>
        <w:t xml:space="preserve">esign </w:t>
      </w:r>
      <w:r>
        <w:rPr>
          <w:sz w:val="24"/>
          <w:szCs w:val="24"/>
        </w:rPr>
        <w:t xml:space="preserve">of </w:t>
      </w:r>
      <w:proofErr w:type="spellStart"/>
      <w:r w:rsidRPr="00D90DF5">
        <w:rPr>
          <w:sz w:val="24"/>
          <w:szCs w:val="24"/>
        </w:rPr>
        <w:t>SuDS</w:t>
      </w:r>
      <w:proofErr w:type="spellEnd"/>
      <w:r w:rsidRPr="00D90DF5">
        <w:rPr>
          <w:sz w:val="24"/>
          <w:szCs w:val="24"/>
        </w:rPr>
        <w:t xml:space="preserve"> </w:t>
      </w:r>
    </w:p>
    <w:p w:rsidR="00E54D0B" w:rsidRPr="00D90DF5" w:rsidRDefault="00E54D0B" w:rsidP="00E54D0B">
      <w:pPr>
        <w:numPr>
          <w:ilvl w:val="0"/>
          <w:numId w:val="5"/>
        </w:numPr>
        <w:ind w:left="1134"/>
        <w:jc w:val="left"/>
        <w:rPr>
          <w:sz w:val="24"/>
          <w:szCs w:val="24"/>
        </w:rPr>
      </w:pPr>
      <w:proofErr w:type="spellStart"/>
      <w:r w:rsidRPr="006E648C">
        <w:rPr>
          <w:sz w:val="24"/>
          <w:szCs w:val="24"/>
        </w:rPr>
        <w:t>SuDS</w:t>
      </w:r>
      <w:proofErr w:type="spellEnd"/>
      <w:r w:rsidRPr="006E648C">
        <w:rPr>
          <w:sz w:val="24"/>
          <w:szCs w:val="24"/>
        </w:rPr>
        <w:t xml:space="preserve"> </w:t>
      </w:r>
      <w:r>
        <w:rPr>
          <w:sz w:val="24"/>
          <w:szCs w:val="24"/>
        </w:rPr>
        <w:t xml:space="preserve">in </w:t>
      </w:r>
      <w:r w:rsidRPr="00D90DF5">
        <w:rPr>
          <w:sz w:val="24"/>
          <w:szCs w:val="24"/>
        </w:rPr>
        <w:t xml:space="preserve">Mansfield town centre </w:t>
      </w:r>
    </w:p>
    <w:p w:rsidR="00E54D0B" w:rsidRPr="00D90DF5" w:rsidRDefault="00E54D0B" w:rsidP="00E54D0B">
      <w:pPr>
        <w:numPr>
          <w:ilvl w:val="0"/>
          <w:numId w:val="5"/>
        </w:numPr>
        <w:ind w:left="1134"/>
        <w:jc w:val="left"/>
        <w:rPr>
          <w:sz w:val="24"/>
          <w:szCs w:val="24"/>
        </w:rPr>
      </w:pPr>
      <w:r w:rsidRPr="00D90DF5">
        <w:rPr>
          <w:sz w:val="24"/>
          <w:szCs w:val="24"/>
        </w:rPr>
        <w:t>Information Requirements</w:t>
      </w:r>
      <w:r>
        <w:rPr>
          <w:sz w:val="24"/>
          <w:szCs w:val="24"/>
        </w:rPr>
        <w:t xml:space="preserve"> when submitting planning applications</w:t>
      </w:r>
    </w:p>
    <w:p w:rsidR="00E54D0B" w:rsidRPr="00D90DF5" w:rsidRDefault="00E54D0B" w:rsidP="00E54D0B">
      <w:pPr>
        <w:numPr>
          <w:ilvl w:val="0"/>
          <w:numId w:val="5"/>
        </w:numPr>
        <w:ind w:left="1134"/>
        <w:jc w:val="left"/>
        <w:rPr>
          <w:sz w:val="24"/>
          <w:szCs w:val="24"/>
        </w:rPr>
      </w:pPr>
      <w:r>
        <w:rPr>
          <w:sz w:val="24"/>
          <w:szCs w:val="24"/>
        </w:rPr>
        <w:t xml:space="preserve">Retrofitting of </w:t>
      </w:r>
      <w:proofErr w:type="spellStart"/>
      <w:r>
        <w:rPr>
          <w:sz w:val="24"/>
          <w:szCs w:val="24"/>
        </w:rPr>
        <w:t>Su</w:t>
      </w:r>
      <w:r w:rsidRPr="00D90DF5">
        <w:rPr>
          <w:sz w:val="24"/>
          <w:szCs w:val="24"/>
        </w:rPr>
        <w:t>DS</w:t>
      </w:r>
      <w:proofErr w:type="spellEnd"/>
      <w:r w:rsidRPr="00D90DF5">
        <w:rPr>
          <w:sz w:val="24"/>
          <w:szCs w:val="24"/>
        </w:rPr>
        <w:t xml:space="preserve"> on existing estates</w:t>
      </w:r>
    </w:p>
    <w:p w:rsidR="00E54D0B" w:rsidRPr="00D90DF5" w:rsidRDefault="00E54D0B" w:rsidP="00E54D0B">
      <w:pPr>
        <w:numPr>
          <w:ilvl w:val="0"/>
          <w:numId w:val="5"/>
        </w:numPr>
        <w:ind w:left="1134"/>
        <w:jc w:val="left"/>
        <w:rPr>
          <w:sz w:val="24"/>
          <w:szCs w:val="24"/>
        </w:rPr>
      </w:pPr>
      <w:proofErr w:type="spellStart"/>
      <w:r w:rsidRPr="004C535C">
        <w:rPr>
          <w:sz w:val="24"/>
          <w:szCs w:val="24"/>
        </w:rPr>
        <w:t>SuDS</w:t>
      </w:r>
      <w:proofErr w:type="spellEnd"/>
      <w:r w:rsidRPr="004C535C">
        <w:rPr>
          <w:sz w:val="24"/>
          <w:szCs w:val="24"/>
        </w:rPr>
        <w:t xml:space="preserve"> </w:t>
      </w:r>
      <w:r w:rsidRPr="00D90DF5">
        <w:rPr>
          <w:sz w:val="24"/>
          <w:szCs w:val="24"/>
        </w:rPr>
        <w:t>and Bio-diversity</w:t>
      </w:r>
    </w:p>
    <w:p w:rsidR="00E54D0B" w:rsidRPr="00D90DF5" w:rsidRDefault="00E54D0B" w:rsidP="00E54D0B">
      <w:pPr>
        <w:numPr>
          <w:ilvl w:val="0"/>
          <w:numId w:val="5"/>
        </w:numPr>
        <w:ind w:left="1134"/>
        <w:jc w:val="left"/>
        <w:rPr>
          <w:sz w:val="24"/>
          <w:szCs w:val="24"/>
        </w:rPr>
      </w:pPr>
      <w:proofErr w:type="spellStart"/>
      <w:r w:rsidRPr="004C535C">
        <w:rPr>
          <w:sz w:val="24"/>
          <w:szCs w:val="24"/>
        </w:rPr>
        <w:t>SuDS</w:t>
      </w:r>
      <w:proofErr w:type="spellEnd"/>
      <w:r w:rsidRPr="004C535C">
        <w:rPr>
          <w:sz w:val="24"/>
          <w:szCs w:val="24"/>
        </w:rPr>
        <w:t xml:space="preserve"> </w:t>
      </w:r>
      <w:r w:rsidRPr="00D90DF5">
        <w:rPr>
          <w:sz w:val="24"/>
          <w:szCs w:val="24"/>
        </w:rPr>
        <w:t xml:space="preserve">and Green Infrastructure </w:t>
      </w:r>
    </w:p>
    <w:p w:rsidR="00E54D0B" w:rsidRPr="00D90DF5" w:rsidRDefault="00E54D0B" w:rsidP="00E54D0B">
      <w:pPr>
        <w:numPr>
          <w:ilvl w:val="0"/>
          <w:numId w:val="5"/>
        </w:numPr>
        <w:ind w:left="1134"/>
        <w:jc w:val="left"/>
        <w:rPr>
          <w:sz w:val="24"/>
          <w:szCs w:val="24"/>
        </w:rPr>
      </w:pPr>
      <w:proofErr w:type="spellStart"/>
      <w:r w:rsidRPr="004C535C">
        <w:rPr>
          <w:sz w:val="24"/>
          <w:szCs w:val="24"/>
        </w:rPr>
        <w:t>SuDS</w:t>
      </w:r>
      <w:proofErr w:type="spellEnd"/>
      <w:r w:rsidRPr="004C535C">
        <w:rPr>
          <w:sz w:val="24"/>
          <w:szCs w:val="24"/>
        </w:rPr>
        <w:t xml:space="preserve"> </w:t>
      </w:r>
      <w:r w:rsidRPr="00D90DF5">
        <w:rPr>
          <w:sz w:val="24"/>
          <w:szCs w:val="24"/>
        </w:rPr>
        <w:t>and Climate change</w:t>
      </w:r>
    </w:p>
    <w:p w:rsidR="00E54D0B" w:rsidRPr="00D90DF5" w:rsidRDefault="00E54D0B" w:rsidP="00E54D0B">
      <w:pPr>
        <w:numPr>
          <w:ilvl w:val="0"/>
          <w:numId w:val="5"/>
        </w:numPr>
        <w:ind w:left="1134"/>
        <w:jc w:val="left"/>
        <w:rPr>
          <w:sz w:val="24"/>
          <w:szCs w:val="24"/>
        </w:rPr>
      </w:pPr>
      <w:r w:rsidRPr="00D90DF5">
        <w:rPr>
          <w:sz w:val="24"/>
          <w:szCs w:val="24"/>
        </w:rPr>
        <w:t xml:space="preserve">Long term Maintenance of </w:t>
      </w:r>
      <w:proofErr w:type="spellStart"/>
      <w:r w:rsidRPr="00D90DF5">
        <w:rPr>
          <w:sz w:val="24"/>
          <w:szCs w:val="24"/>
        </w:rPr>
        <w:t>SuDS</w:t>
      </w:r>
      <w:proofErr w:type="spellEnd"/>
    </w:p>
    <w:p w:rsidR="00E54D0B" w:rsidRPr="00D90DF5" w:rsidRDefault="00E54D0B" w:rsidP="00E54D0B">
      <w:pPr>
        <w:jc w:val="left"/>
        <w:rPr>
          <w:sz w:val="24"/>
          <w:szCs w:val="24"/>
        </w:rPr>
      </w:pPr>
    </w:p>
    <w:p w:rsidR="00E54D0B" w:rsidRPr="00D90DF5" w:rsidRDefault="00E54D0B" w:rsidP="00E54D0B">
      <w:pPr>
        <w:pStyle w:val="ListParagraph"/>
        <w:ind w:left="709"/>
        <w:jc w:val="left"/>
        <w:rPr>
          <w:sz w:val="24"/>
          <w:szCs w:val="24"/>
        </w:rPr>
      </w:pPr>
    </w:p>
    <w:p w:rsidR="00E54D0B" w:rsidRDefault="00E54D0B" w:rsidP="00E54D0B">
      <w:pPr>
        <w:pStyle w:val="ListParagraph"/>
        <w:numPr>
          <w:ilvl w:val="1"/>
          <w:numId w:val="2"/>
        </w:numPr>
        <w:ind w:left="709" w:hanging="709"/>
        <w:jc w:val="left"/>
        <w:rPr>
          <w:sz w:val="24"/>
          <w:szCs w:val="24"/>
        </w:rPr>
      </w:pPr>
      <w:r>
        <w:rPr>
          <w:sz w:val="24"/>
          <w:szCs w:val="24"/>
        </w:rPr>
        <w:t xml:space="preserve">The SPD also explains the process of how potential developers can apply to Severn Trent for funding through the Green Recovery Programme in order to deliver enhanced </w:t>
      </w:r>
      <w:proofErr w:type="spellStart"/>
      <w:r>
        <w:rPr>
          <w:sz w:val="24"/>
          <w:szCs w:val="24"/>
        </w:rPr>
        <w:t>SuDS</w:t>
      </w:r>
      <w:proofErr w:type="spellEnd"/>
      <w:r>
        <w:rPr>
          <w:sz w:val="24"/>
          <w:szCs w:val="24"/>
        </w:rPr>
        <w:t xml:space="preserve">. </w:t>
      </w:r>
    </w:p>
    <w:p w:rsidR="00E54D0B" w:rsidRDefault="00E54D0B" w:rsidP="00E54D0B">
      <w:pPr>
        <w:pStyle w:val="ListParagraph"/>
        <w:ind w:left="709"/>
        <w:jc w:val="left"/>
        <w:rPr>
          <w:sz w:val="24"/>
          <w:szCs w:val="24"/>
        </w:rPr>
      </w:pPr>
      <w:r>
        <w:rPr>
          <w:sz w:val="24"/>
          <w:szCs w:val="24"/>
        </w:rPr>
        <w:t xml:space="preserve"> </w:t>
      </w:r>
    </w:p>
    <w:p w:rsidR="00E54D0B" w:rsidRDefault="00E54D0B" w:rsidP="00E54D0B">
      <w:pPr>
        <w:pStyle w:val="ListParagraph"/>
        <w:numPr>
          <w:ilvl w:val="1"/>
          <w:numId w:val="2"/>
        </w:numPr>
        <w:ind w:left="709" w:hanging="709"/>
        <w:jc w:val="left"/>
        <w:rPr>
          <w:rFonts w:eastAsia="Calibri" w:cs="Arial"/>
          <w:sz w:val="24"/>
          <w:szCs w:val="24"/>
          <w:lang w:eastAsia="en-US"/>
        </w:rPr>
      </w:pPr>
      <w:r w:rsidRPr="008E4239">
        <w:rPr>
          <w:rFonts w:eastAsia="Calibri" w:cs="Arial"/>
          <w:sz w:val="24"/>
          <w:szCs w:val="24"/>
          <w:lang w:eastAsia="en-US"/>
        </w:rPr>
        <w:t xml:space="preserve">The </w:t>
      </w:r>
      <w:proofErr w:type="spellStart"/>
      <w:r w:rsidRPr="008E4239">
        <w:rPr>
          <w:rFonts w:eastAsia="Calibri" w:cs="Arial"/>
          <w:sz w:val="24"/>
          <w:szCs w:val="24"/>
          <w:lang w:eastAsia="en-US"/>
        </w:rPr>
        <w:t>SuDS</w:t>
      </w:r>
      <w:proofErr w:type="spellEnd"/>
      <w:r w:rsidRPr="008E4239">
        <w:rPr>
          <w:rFonts w:eastAsia="Calibri" w:cs="Arial"/>
          <w:sz w:val="24"/>
          <w:szCs w:val="24"/>
          <w:lang w:eastAsia="en-US"/>
        </w:rPr>
        <w:t xml:space="preserve"> SPD will align with other planning documents being produced by the District Council including a </w:t>
      </w:r>
      <w:r>
        <w:rPr>
          <w:rFonts w:eastAsia="Calibri" w:cs="Arial"/>
          <w:sz w:val="24"/>
          <w:szCs w:val="24"/>
          <w:lang w:eastAsia="en-US"/>
        </w:rPr>
        <w:t>‘</w:t>
      </w:r>
      <w:r w:rsidRPr="008E4239">
        <w:rPr>
          <w:rFonts w:eastAsia="Calibri" w:cs="Arial"/>
          <w:sz w:val="24"/>
          <w:szCs w:val="24"/>
          <w:lang w:eastAsia="en-US"/>
        </w:rPr>
        <w:t xml:space="preserve">Biodiversity </w:t>
      </w:r>
      <w:r>
        <w:rPr>
          <w:rFonts w:eastAsia="Calibri" w:cs="Arial"/>
          <w:sz w:val="24"/>
          <w:szCs w:val="24"/>
          <w:lang w:eastAsia="en-US"/>
        </w:rPr>
        <w:t xml:space="preserve">net gain </w:t>
      </w:r>
      <w:r w:rsidRPr="008E4239">
        <w:rPr>
          <w:rFonts w:eastAsia="Calibri" w:cs="Arial"/>
          <w:sz w:val="24"/>
          <w:szCs w:val="24"/>
          <w:lang w:eastAsia="en-US"/>
        </w:rPr>
        <w:t>SPD</w:t>
      </w:r>
      <w:r>
        <w:rPr>
          <w:rFonts w:eastAsia="Calibri" w:cs="Arial"/>
          <w:sz w:val="24"/>
          <w:szCs w:val="24"/>
          <w:lang w:eastAsia="en-US"/>
        </w:rPr>
        <w:t xml:space="preserve">’ </w:t>
      </w:r>
      <w:r w:rsidRPr="006E648C">
        <w:rPr>
          <w:rFonts w:eastAsia="Calibri" w:cs="Arial"/>
          <w:sz w:val="24"/>
          <w:szCs w:val="24"/>
          <w:lang w:eastAsia="en-US"/>
        </w:rPr>
        <w:t>and ‘Green Infrastructure SPD’</w:t>
      </w:r>
      <w:r w:rsidRPr="008E4239">
        <w:rPr>
          <w:rFonts w:eastAsia="Calibri" w:cs="Arial"/>
          <w:sz w:val="24"/>
          <w:szCs w:val="24"/>
          <w:lang w:eastAsia="en-US"/>
        </w:rPr>
        <w:t xml:space="preserve">. The SPD also seeks to complement the </w:t>
      </w:r>
      <w:proofErr w:type="spellStart"/>
      <w:r w:rsidRPr="008E4239">
        <w:rPr>
          <w:rFonts w:eastAsia="Calibri" w:cs="Arial"/>
          <w:sz w:val="24"/>
          <w:szCs w:val="24"/>
          <w:lang w:eastAsia="en-US"/>
        </w:rPr>
        <w:t>SuDS</w:t>
      </w:r>
      <w:proofErr w:type="spellEnd"/>
      <w:r>
        <w:rPr>
          <w:rFonts w:eastAsia="Calibri" w:cs="Arial"/>
          <w:sz w:val="24"/>
          <w:szCs w:val="24"/>
          <w:lang w:eastAsia="en-US"/>
        </w:rPr>
        <w:t xml:space="preserve"> schemes</w:t>
      </w:r>
      <w:r w:rsidRPr="008E4239">
        <w:rPr>
          <w:rFonts w:eastAsia="Calibri" w:cs="Arial"/>
          <w:sz w:val="24"/>
          <w:szCs w:val="24"/>
          <w:lang w:eastAsia="en-US"/>
        </w:rPr>
        <w:t xml:space="preserve"> being delivered as part of Severn Trent town centre interventions which in turn seek to align with the town centre masterplan.  </w:t>
      </w:r>
      <w:r>
        <w:rPr>
          <w:rFonts w:eastAsia="Calibri" w:cs="Arial"/>
          <w:sz w:val="24"/>
          <w:szCs w:val="24"/>
          <w:lang w:eastAsia="en-US"/>
        </w:rPr>
        <w:t xml:space="preserve"> </w:t>
      </w:r>
    </w:p>
    <w:p w:rsidR="00E54D0B" w:rsidRPr="004C535C" w:rsidRDefault="00E54D0B" w:rsidP="00E54D0B">
      <w:pPr>
        <w:pStyle w:val="ListParagraph"/>
        <w:rPr>
          <w:rFonts w:eastAsia="Calibri" w:cs="Arial"/>
          <w:sz w:val="24"/>
          <w:szCs w:val="24"/>
          <w:lang w:eastAsia="en-US"/>
        </w:rPr>
      </w:pPr>
    </w:p>
    <w:p w:rsidR="00E54D0B" w:rsidRPr="004C535C" w:rsidRDefault="00E54D0B" w:rsidP="00E54D0B">
      <w:pPr>
        <w:pStyle w:val="ListParagraph"/>
        <w:ind w:left="0"/>
        <w:rPr>
          <w:rFonts w:eastAsia="Calibri" w:cs="Arial"/>
          <w:sz w:val="24"/>
          <w:szCs w:val="24"/>
          <w:u w:val="single"/>
          <w:lang w:eastAsia="en-US"/>
        </w:rPr>
      </w:pPr>
      <w:r w:rsidRPr="004C535C">
        <w:rPr>
          <w:rFonts w:eastAsia="Calibri" w:cs="Arial"/>
          <w:sz w:val="24"/>
          <w:szCs w:val="24"/>
          <w:u w:val="single"/>
          <w:lang w:eastAsia="en-US"/>
        </w:rPr>
        <w:t>Extent of the SPD</w:t>
      </w:r>
    </w:p>
    <w:p w:rsidR="00E54D0B" w:rsidRPr="004C535C" w:rsidRDefault="00E54D0B" w:rsidP="00E54D0B">
      <w:pPr>
        <w:pStyle w:val="ListParagraph"/>
        <w:rPr>
          <w:rFonts w:eastAsia="Calibri" w:cs="Arial"/>
          <w:sz w:val="24"/>
          <w:szCs w:val="24"/>
          <w:lang w:eastAsia="en-US"/>
        </w:rPr>
      </w:pPr>
    </w:p>
    <w:p w:rsidR="00E54D0B" w:rsidRPr="000956D6" w:rsidRDefault="00E54D0B" w:rsidP="00E54D0B">
      <w:pPr>
        <w:pStyle w:val="ListParagraph"/>
        <w:numPr>
          <w:ilvl w:val="1"/>
          <w:numId w:val="2"/>
        </w:numPr>
        <w:ind w:left="709" w:hanging="709"/>
        <w:jc w:val="left"/>
        <w:rPr>
          <w:rFonts w:eastAsia="Calibri" w:cs="Arial"/>
          <w:sz w:val="24"/>
          <w:szCs w:val="24"/>
          <w:lang w:eastAsia="en-US"/>
        </w:rPr>
      </w:pPr>
      <w:r w:rsidRPr="004C535C">
        <w:rPr>
          <w:rFonts w:eastAsia="Calibri" w:cs="Arial"/>
          <w:sz w:val="24"/>
          <w:szCs w:val="24"/>
          <w:lang w:eastAsia="en-US"/>
        </w:rPr>
        <w:t xml:space="preserve">This SPD covers the administrative area of Mansfield District.  </w:t>
      </w:r>
      <w:r>
        <w:rPr>
          <w:rFonts w:eastAsia="Calibri" w:cs="Arial"/>
          <w:sz w:val="24"/>
          <w:szCs w:val="24"/>
          <w:lang w:eastAsia="en-US"/>
        </w:rPr>
        <w:t>It</w:t>
      </w:r>
      <w:r w:rsidRPr="004C535C">
        <w:rPr>
          <w:rFonts w:eastAsia="Calibri" w:cs="Arial"/>
          <w:sz w:val="24"/>
          <w:szCs w:val="24"/>
          <w:lang w:eastAsia="en-US"/>
        </w:rPr>
        <w:t xml:space="preserve"> sets out guidance for </w:t>
      </w:r>
      <w:proofErr w:type="spellStart"/>
      <w:r w:rsidRPr="004C535C">
        <w:rPr>
          <w:rFonts w:eastAsia="Calibri" w:cs="Arial"/>
          <w:sz w:val="24"/>
          <w:szCs w:val="24"/>
          <w:lang w:eastAsia="en-US"/>
        </w:rPr>
        <w:t>SuDS</w:t>
      </w:r>
      <w:proofErr w:type="spellEnd"/>
      <w:r w:rsidRPr="004C535C">
        <w:rPr>
          <w:rFonts w:eastAsia="Calibri" w:cs="Arial"/>
          <w:sz w:val="24"/>
          <w:szCs w:val="24"/>
          <w:lang w:eastAsia="en-US"/>
        </w:rPr>
        <w:t xml:space="preserve"> in the long term but also offers tailored and specific guidance for the duration of the Severn Trent </w:t>
      </w:r>
      <w:r w:rsidRPr="004C535C">
        <w:rPr>
          <w:rFonts w:eastAsia="Calibri" w:cs="Arial"/>
          <w:bCs/>
          <w:sz w:val="24"/>
          <w:szCs w:val="24"/>
          <w:lang w:eastAsia="en-US"/>
        </w:rPr>
        <w:t>green recovery programme up to March 2025.</w:t>
      </w:r>
    </w:p>
    <w:p w:rsidR="00E54D0B" w:rsidRPr="000956D6" w:rsidRDefault="00E54D0B" w:rsidP="00E54D0B">
      <w:pPr>
        <w:pStyle w:val="ListParagraph"/>
        <w:ind w:left="709"/>
        <w:jc w:val="left"/>
        <w:rPr>
          <w:rFonts w:eastAsia="Calibri" w:cs="Arial"/>
          <w:sz w:val="24"/>
          <w:szCs w:val="24"/>
          <w:lang w:eastAsia="en-US"/>
        </w:rPr>
      </w:pPr>
    </w:p>
    <w:p w:rsidR="00E54D0B" w:rsidRDefault="00E54D0B" w:rsidP="00E54D0B">
      <w:pPr>
        <w:pStyle w:val="ListParagraph"/>
        <w:numPr>
          <w:ilvl w:val="1"/>
          <w:numId w:val="2"/>
        </w:numPr>
        <w:ind w:left="709" w:hanging="709"/>
        <w:jc w:val="left"/>
        <w:rPr>
          <w:rFonts w:eastAsia="Calibri" w:cs="Arial"/>
          <w:sz w:val="24"/>
          <w:szCs w:val="24"/>
          <w:lang w:eastAsia="en-US"/>
        </w:rPr>
      </w:pPr>
      <w:r>
        <w:rPr>
          <w:rFonts w:eastAsia="Calibri" w:cs="Arial"/>
          <w:sz w:val="24"/>
          <w:szCs w:val="24"/>
          <w:lang w:eastAsia="en-US"/>
        </w:rPr>
        <w:t>T</w:t>
      </w:r>
      <w:r w:rsidRPr="000956D6">
        <w:rPr>
          <w:rFonts w:eastAsia="Calibri" w:cs="Arial"/>
          <w:sz w:val="24"/>
          <w:szCs w:val="24"/>
          <w:lang w:eastAsia="en-US"/>
        </w:rPr>
        <w:t xml:space="preserve">he SPD </w:t>
      </w:r>
      <w:r>
        <w:rPr>
          <w:rFonts w:eastAsia="Calibri" w:cs="Arial"/>
          <w:sz w:val="24"/>
          <w:szCs w:val="24"/>
          <w:lang w:eastAsia="en-US"/>
        </w:rPr>
        <w:t xml:space="preserve">elaborates and provides guidance on policy CC3 of the Local plan but </w:t>
      </w:r>
      <w:r w:rsidRPr="000956D6">
        <w:rPr>
          <w:rFonts w:eastAsia="Calibri" w:cs="Arial"/>
          <w:sz w:val="24"/>
          <w:szCs w:val="24"/>
          <w:lang w:eastAsia="en-US"/>
        </w:rPr>
        <w:t xml:space="preserve">does not </w:t>
      </w:r>
      <w:r>
        <w:rPr>
          <w:rFonts w:eastAsia="Calibri" w:cs="Arial"/>
          <w:sz w:val="24"/>
          <w:szCs w:val="24"/>
          <w:lang w:eastAsia="en-US"/>
        </w:rPr>
        <w:t xml:space="preserve">seek to introduce new policy or </w:t>
      </w:r>
      <w:r w:rsidRPr="000956D6">
        <w:rPr>
          <w:rFonts w:eastAsia="Calibri" w:cs="Arial"/>
          <w:sz w:val="24"/>
          <w:szCs w:val="24"/>
          <w:lang w:eastAsia="en-US"/>
        </w:rPr>
        <w:t>add a</w:t>
      </w:r>
      <w:r>
        <w:rPr>
          <w:rFonts w:eastAsia="Calibri" w:cs="Arial"/>
          <w:sz w:val="24"/>
          <w:szCs w:val="24"/>
          <w:lang w:eastAsia="en-US"/>
        </w:rPr>
        <w:t xml:space="preserve">ny additional financial burdens </w:t>
      </w:r>
      <w:r w:rsidRPr="000956D6">
        <w:rPr>
          <w:rFonts w:eastAsia="Calibri" w:cs="Arial"/>
          <w:sz w:val="24"/>
          <w:szCs w:val="24"/>
          <w:lang w:eastAsia="en-US"/>
        </w:rPr>
        <w:t>on developers</w:t>
      </w:r>
      <w:r>
        <w:rPr>
          <w:rFonts w:eastAsia="Calibri" w:cs="Arial"/>
          <w:sz w:val="24"/>
          <w:szCs w:val="24"/>
          <w:lang w:eastAsia="en-US"/>
        </w:rPr>
        <w:t xml:space="preserve">. </w:t>
      </w:r>
    </w:p>
    <w:p w:rsidR="00862CFF" w:rsidRPr="00862CFF" w:rsidRDefault="00862CFF" w:rsidP="00862CFF">
      <w:pPr>
        <w:pStyle w:val="ListParagraph"/>
        <w:rPr>
          <w:rFonts w:eastAsia="Calibri" w:cs="Arial"/>
          <w:sz w:val="24"/>
          <w:szCs w:val="24"/>
          <w:lang w:eastAsia="en-US"/>
        </w:rPr>
      </w:pPr>
    </w:p>
    <w:p w:rsidR="00862CFF" w:rsidRPr="00D500B8" w:rsidRDefault="00862CFF" w:rsidP="00862CFF">
      <w:pPr>
        <w:pStyle w:val="BodyTextIndent"/>
        <w:ind w:left="0"/>
        <w:rPr>
          <w:rFonts w:ascii="Arial" w:hAnsi="Arial" w:cs="Arial"/>
        </w:rPr>
      </w:pPr>
      <w:r w:rsidRPr="00B336CF">
        <w:rPr>
          <w:rFonts w:ascii="Arial" w:hAnsi="Arial" w:cs="Arial"/>
          <w:u w:val="single"/>
        </w:rPr>
        <w:t>Implications of producing the SPD</w:t>
      </w:r>
      <w:r w:rsidRPr="00D500B8">
        <w:rPr>
          <w:rFonts w:ascii="Arial" w:hAnsi="Arial" w:cs="Arial"/>
        </w:rPr>
        <w:t xml:space="preserve"> </w:t>
      </w:r>
    </w:p>
    <w:p w:rsidR="00862CFF" w:rsidRDefault="00862CFF" w:rsidP="00862CFF">
      <w:pPr>
        <w:pStyle w:val="ListParagraph"/>
        <w:ind w:left="709"/>
        <w:jc w:val="left"/>
        <w:rPr>
          <w:rFonts w:eastAsia="Calibri" w:cs="Arial"/>
          <w:sz w:val="24"/>
          <w:szCs w:val="24"/>
          <w:lang w:eastAsia="en-US"/>
        </w:rPr>
      </w:pPr>
    </w:p>
    <w:p w:rsidR="00862CFF" w:rsidRPr="00862CFF" w:rsidRDefault="00862CFF" w:rsidP="00862CFF">
      <w:pPr>
        <w:pStyle w:val="ListParagraph"/>
        <w:rPr>
          <w:rFonts w:eastAsia="Calibri" w:cs="Arial"/>
          <w:sz w:val="24"/>
          <w:szCs w:val="24"/>
          <w:lang w:eastAsia="en-US"/>
        </w:rPr>
      </w:pPr>
    </w:p>
    <w:p w:rsidR="00862CFF" w:rsidRDefault="00862CFF" w:rsidP="00E54D0B">
      <w:pPr>
        <w:pStyle w:val="ListParagraph"/>
        <w:numPr>
          <w:ilvl w:val="1"/>
          <w:numId w:val="2"/>
        </w:numPr>
        <w:ind w:left="709" w:hanging="709"/>
        <w:jc w:val="left"/>
        <w:rPr>
          <w:rFonts w:eastAsia="Calibri" w:cs="Arial"/>
          <w:sz w:val="24"/>
          <w:szCs w:val="24"/>
          <w:lang w:eastAsia="en-US"/>
        </w:rPr>
      </w:pPr>
      <w:r w:rsidRPr="00862CFF">
        <w:rPr>
          <w:rFonts w:eastAsia="Calibri" w:cs="Arial"/>
          <w:sz w:val="24"/>
          <w:szCs w:val="24"/>
          <w:lang w:eastAsia="en-US"/>
        </w:rPr>
        <w:t xml:space="preserve">The main implication of producing the SPD is that it will give the district council a sound, up to date policy basis for seeking </w:t>
      </w:r>
      <w:r>
        <w:rPr>
          <w:rFonts w:eastAsia="Calibri" w:cs="Arial"/>
          <w:sz w:val="24"/>
          <w:szCs w:val="24"/>
          <w:lang w:eastAsia="en-US"/>
        </w:rPr>
        <w:t xml:space="preserve">to secure </w:t>
      </w:r>
      <w:proofErr w:type="spellStart"/>
      <w:r>
        <w:rPr>
          <w:rFonts w:eastAsia="Calibri" w:cs="Arial"/>
          <w:sz w:val="24"/>
          <w:szCs w:val="24"/>
          <w:lang w:eastAsia="en-US"/>
        </w:rPr>
        <w:t>SuDS</w:t>
      </w:r>
      <w:proofErr w:type="spellEnd"/>
      <w:r>
        <w:rPr>
          <w:rFonts w:eastAsia="Calibri" w:cs="Arial"/>
          <w:sz w:val="24"/>
          <w:szCs w:val="24"/>
          <w:lang w:eastAsia="en-US"/>
        </w:rPr>
        <w:t xml:space="preserve"> as part of new developments thereby reducing the potential for flooding and securing other environmental benefits</w:t>
      </w:r>
      <w:r w:rsidRPr="00862CFF">
        <w:rPr>
          <w:rFonts w:eastAsia="Calibri" w:cs="Arial"/>
          <w:sz w:val="24"/>
          <w:szCs w:val="24"/>
          <w:lang w:eastAsia="en-US"/>
        </w:rPr>
        <w:t>.</w:t>
      </w:r>
    </w:p>
    <w:p w:rsidR="00862CFF" w:rsidRDefault="00862CFF" w:rsidP="00862CFF">
      <w:pPr>
        <w:pStyle w:val="ListParagraph"/>
        <w:ind w:left="709"/>
        <w:jc w:val="left"/>
        <w:rPr>
          <w:rFonts w:eastAsia="Calibri" w:cs="Arial"/>
          <w:sz w:val="24"/>
          <w:szCs w:val="24"/>
          <w:lang w:eastAsia="en-US"/>
        </w:rPr>
      </w:pPr>
    </w:p>
    <w:p w:rsidR="00862CFF" w:rsidRPr="000956D6" w:rsidRDefault="00862CFF" w:rsidP="00E54D0B">
      <w:pPr>
        <w:pStyle w:val="ListParagraph"/>
        <w:numPr>
          <w:ilvl w:val="1"/>
          <w:numId w:val="2"/>
        </w:numPr>
        <w:ind w:left="709" w:hanging="709"/>
        <w:jc w:val="left"/>
        <w:rPr>
          <w:rFonts w:eastAsia="Calibri" w:cs="Arial"/>
          <w:sz w:val="24"/>
          <w:szCs w:val="24"/>
          <w:lang w:eastAsia="en-US"/>
        </w:rPr>
      </w:pPr>
      <w:r w:rsidRPr="00862CFF">
        <w:rPr>
          <w:rFonts w:eastAsia="Calibri" w:cs="Arial"/>
          <w:sz w:val="24"/>
          <w:szCs w:val="24"/>
          <w:lang w:eastAsia="en-US"/>
        </w:rPr>
        <w:t xml:space="preserve">Without the SPD, the district council would have to rely on the content of the policies within the adopted local plan </w:t>
      </w:r>
      <w:r>
        <w:rPr>
          <w:rFonts w:eastAsia="Calibri" w:cs="Arial"/>
          <w:sz w:val="24"/>
          <w:szCs w:val="24"/>
          <w:lang w:eastAsia="en-US"/>
        </w:rPr>
        <w:t xml:space="preserve">which do not provide sufficient detail to give a clear steer to prospective developers on the type of </w:t>
      </w:r>
      <w:proofErr w:type="spellStart"/>
      <w:r>
        <w:rPr>
          <w:rFonts w:eastAsia="Calibri" w:cs="Arial"/>
          <w:sz w:val="24"/>
          <w:szCs w:val="24"/>
          <w:lang w:eastAsia="en-US"/>
        </w:rPr>
        <w:t>SuDS</w:t>
      </w:r>
      <w:proofErr w:type="spellEnd"/>
      <w:r>
        <w:rPr>
          <w:rFonts w:eastAsia="Calibri" w:cs="Arial"/>
          <w:sz w:val="24"/>
          <w:szCs w:val="24"/>
          <w:lang w:eastAsia="en-US"/>
        </w:rPr>
        <w:t xml:space="preserve"> that may be suitable or how to </w:t>
      </w:r>
      <w:r w:rsidR="002048D1">
        <w:rPr>
          <w:rFonts w:eastAsia="Calibri" w:cs="Arial"/>
          <w:sz w:val="24"/>
          <w:szCs w:val="24"/>
          <w:lang w:eastAsia="en-US"/>
        </w:rPr>
        <w:t xml:space="preserve">effectively </w:t>
      </w:r>
      <w:r>
        <w:rPr>
          <w:rFonts w:eastAsia="Calibri" w:cs="Arial"/>
          <w:sz w:val="24"/>
          <w:szCs w:val="24"/>
          <w:lang w:eastAsia="en-US"/>
        </w:rPr>
        <w:t>deliver and maintain them</w:t>
      </w:r>
      <w:r w:rsidRPr="00862CFF">
        <w:rPr>
          <w:rFonts w:eastAsia="Calibri" w:cs="Arial"/>
          <w:sz w:val="24"/>
          <w:szCs w:val="24"/>
          <w:lang w:eastAsia="en-US"/>
        </w:rPr>
        <w:t xml:space="preserve">.  </w:t>
      </w:r>
      <w:r>
        <w:rPr>
          <w:rFonts w:eastAsia="Calibri" w:cs="Arial"/>
          <w:sz w:val="24"/>
          <w:szCs w:val="24"/>
          <w:lang w:eastAsia="en-US"/>
        </w:rPr>
        <w:t xml:space="preserve">The SPD also gives a clear indication of how </w:t>
      </w:r>
      <w:r w:rsidR="002048D1">
        <w:rPr>
          <w:rFonts w:eastAsia="Calibri" w:cs="Arial"/>
          <w:sz w:val="24"/>
          <w:szCs w:val="24"/>
          <w:lang w:eastAsia="en-US"/>
        </w:rPr>
        <w:t>developers can secure funding through the Green Recovery programme</w:t>
      </w:r>
      <w:r w:rsidRPr="00862CFF">
        <w:rPr>
          <w:rFonts w:eastAsia="Calibri" w:cs="Arial"/>
          <w:sz w:val="24"/>
          <w:szCs w:val="24"/>
          <w:lang w:eastAsia="en-US"/>
        </w:rPr>
        <w:t>.</w:t>
      </w:r>
    </w:p>
    <w:p w:rsidR="00E54D0B" w:rsidRDefault="00E54D0B" w:rsidP="00E54D0B">
      <w:pPr>
        <w:pStyle w:val="ListParagraph"/>
        <w:ind w:left="709"/>
        <w:jc w:val="left"/>
        <w:rPr>
          <w:rFonts w:eastAsia="Calibri" w:cs="Arial"/>
          <w:bCs/>
          <w:sz w:val="24"/>
          <w:szCs w:val="24"/>
          <w:lang w:eastAsia="en-US"/>
        </w:rPr>
      </w:pPr>
    </w:p>
    <w:p w:rsidR="00E54D0B" w:rsidRPr="000956D6" w:rsidRDefault="00E54D0B" w:rsidP="00E54D0B">
      <w:pPr>
        <w:pStyle w:val="ListParagraph"/>
        <w:ind w:left="0"/>
        <w:rPr>
          <w:rFonts w:eastAsia="Calibri" w:cs="Arial"/>
          <w:bCs/>
          <w:sz w:val="24"/>
          <w:szCs w:val="24"/>
          <w:lang w:eastAsia="en-US"/>
        </w:rPr>
      </w:pPr>
      <w:r w:rsidRPr="000956D6">
        <w:rPr>
          <w:rFonts w:eastAsia="Calibri" w:cs="Arial"/>
          <w:bCs/>
          <w:sz w:val="24"/>
          <w:szCs w:val="24"/>
          <w:u w:val="single"/>
          <w:lang w:eastAsia="en-US"/>
        </w:rPr>
        <w:t>Consultation and engagement</w:t>
      </w:r>
    </w:p>
    <w:p w:rsidR="00E54D0B" w:rsidRDefault="00E54D0B" w:rsidP="00E54D0B">
      <w:pPr>
        <w:pStyle w:val="ListParagraph"/>
        <w:ind w:left="709"/>
        <w:jc w:val="left"/>
        <w:rPr>
          <w:rFonts w:eastAsia="Calibri" w:cs="Arial"/>
          <w:bCs/>
          <w:sz w:val="24"/>
          <w:szCs w:val="24"/>
          <w:lang w:eastAsia="en-US"/>
        </w:rPr>
      </w:pPr>
    </w:p>
    <w:p w:rsidR="00E54D0B" w:rsidRPr="000956D6" w:rsidRDefault="00E54D0B" w:rsidP="00E54D0B">
      <w:pPr>
        <w:pStyle w:val="ListParagraph"/>
        <w:ind w:left="709"/>
        <w:jc w:val="left"/>
        <w:rPr>
          <w:rFonts w:eastAsia="Calibri" w:cs="Arial"/>
          <w:sz w:val="24"/>
          <w:szCs w:val="24"/>
          <w:lang w:eastAsia="en-US"/>
        </w:rPr>
      </w:pPr>
    </w:p>
    <w:p w:rsidR="00E54D0B" w:rsidRPr="004C535C" w:rsidRDefault="00E54D0B" w:rsidP="00E54D0B">
      <w:pPr>
        <w:pStyle w:val="ListParagraph"/>
        <w:numPr>
          <w:ilvl w:val="1"/>
          <w:numId w:val="2"/>
        </w:numPr>
        <w:ind w:left="709" w:hanging="709"/>
        <w:jc w:val="left"/>
        <w:rPr>
          <w:rFonts w:eastAsia="Calibri" w:cs="Arial"/>
          <w:sz w:val="24"/>
          <w:szCs w:val="24"/>
          <w:lang w:eastAsia="en-US"/>
        </w:rPr>
      </w:pPr>
      <w:r>
        <w:rPr>
          <w:rFonts w:eastAsia="Calibri" w:cs="Arial"/>
          <w:sz w:val="24"/>
          <w:szCs w:val="24"/>
          <w:lang w:eastAsia="en-US"/>
        </w:rPr>
        <w:t>The document will be adopted as a Supplementary Planning Document by Mansfield District Council. It has been prepared with the engagement of Severn Trent Water Limited and Nottinghamshire County Council (the Lead Local Flood Authority). The early engagement of the Environment Agency was also sought.</w:t>
      </w:r>
    </w:p>
    <w:p w:rsidR="00E54D0B" w:rsidRPr="00AD3C0C" w:rsidRDefault="00E54D0B" w:rsidP="00E54D0B">
      <w:pPr>
        <w:contextualSpacing/>
        <w:jc w:val="left"/>
        <w:rPr>
          <w:rFonts w:eastAsia="Calibri" w:cs="Arial"/>
          <w:sz w:val="24"/>
          <w:szCs w:val="24"/>
          <w:lang w:eastAsia="en-US"/>
        </w:rPr>
      </w:pPr>
    </w:p>
    <w:p w:rsidR="00E54D0B" w:rsidRDefault="00E54D0B" w:rsidP="00E54D0B">
      <w:pPr>
        <w:rPr>
          <w:rFonts w:eastAsiaTheme="minorHAnsi" w:cs="Arial"/>
          <w:lang w:eastAsia="en-US"/>
        </w:rPr>
      </w:pPr>
    </w:p>
    <w:p w:rsidR="002048D1" w:rsidRDefault="00E54D0B" w:rsidP="002048D1">
      <w:pPr>
        <w:pStyle w:val="ListParagraph"/>
        <w:numPr>
          <w:ilvl w:val="0"/>
          <w:numId w:val="2"/>
        </w:numPr>
        <w:ind w:left="709" w:hanging="720"/>
        <w:rPr>
          <w:rFonts w:eastAsiaTheme="minorHAnsi" w:cs="Arial"/>
          <w:b/>
          <w:lang w:eastAsia="en-US"/>
        </w:rPr>
      </w:pPr>
      <w:r>
        <w:rPr>
          <w:rFonts w:eastAsiaTheme="minorHAnsi" w:cs="Arial"/>
          <w:b/>
          <w:lang w:eastAsia="en-US"/>
        </w:rPr>
        <w:t>NEXT STEPS</w:t>
      </w:r>
      <w:r w:rsidRPr="00712BE4">
        <w:rPr>
          <w:rFonts w:eastAsiaTheme="minorHAnsi" w:cs="Arial"/>
          <w:b/>
          <w:lang w:eastAsia="en-US"/>
        </w:rPr>
        <w:t xml:space="preserve"> </w:t>
      </w:r>
    </w:p>
    <w:p w:rsidR="002048D1" w:rsidRDefault="002048D1" w:rsidP="002048D1">
      <w:pPr>
        <w:pStyle w:val="ListParagraph"/>
        <w:ind w:left="709"/>
        <w:rPr>
          <w:rFonts w:eastAsiaTheme="minorHAnsi" w:cs="Arial"/>
          <w:b/>
          <w:lang w:eastAsia="en-US"/>
        </w:rPr>
      </w:pPr>
    </w:p>
    <w:p w:rsidR="002048D1" w:rsidRDefault="002048D1" w:rsidP="002048D1">
      <w:pPr>
        <w:pStyle w:val="ListParagraph"/>
        <w:numPr>
          <w:ilvl w:val="1"/>
          <w:numId w:val="2"/>
        </w:numPr>
        <w:ind w:left="709" w:hanging="715"/>
        <w:rPr>
          <w:rFonts w:eastAsiaTheme="minorHAnsi" w:cs="Arial"/>
          <w:sz w:val="24"/>
          <w:szCs w:val="24"/>
          <w:lang w:eastAsia="en-US"/>
        </w:rPr>
      </w:pPr>
      <w:r w:rsidRPr="002048D1">
        <w:rPr>
          <w:rFonts w:eastAsiaTheme="minorHAnsi" w:cs="Arial"/>
          <w:sz w:val="24"/>
          <w:szCs w:val="24"/>
          <w:lang w:eastAsia="en-US"/>
        </w:rPr>
        <w:t>The key milestones for the preparation of the SPD are set out in the table below:</w:t>
      </w:r>
    </w:p>
    <w:p w:rsidR="002048D1" w:rsidRDefault="002048D1" w:rsidP="002048D1">
      <w:pPr>
        <w:pStyle w:val="ListParagraph"/>
        <w:ind w:left="360"/>
        <w:rPr>
          <w:rFonts w:eastAsiaTheme="minorHAnsi" w:cs="Arial"/>
          <w:sz w:val="24"/>
          <w:szCs w:val="24"/>
          <w:lang w:eastAsia="en-US"/>
        </w:rPr>
      </w:pPr>
    </w:p>
    <w:tbl>
      <w:tblPr>
        <w:tblStyle w:val="TableGrid"/>
        <w:tblW w:w="0" w:type="auto"/>
        <w:tblInd w:w="720" w:type="dxa"/>
        <w:tblLook w:val="04A0" w:firstRow="1" w:lastRow="0" w:firstColumn="1" w:lastColumn="0" w:noHBand="0" w:noVBand="1"/>
      </w:tblPr>
      <w:tblGrid>
        <w:gridCol w:w="4154"/>
        <w:gridCol w:w="4142"/>
      </w:tblGrid>
      <w:tr w:rsidR="00523002" w:rsidRPr="00523002" w:rsidTr="001613E5">
        <w:tc>
          <w:tcPr>
            <w:tcW w:w="4154" w:type="dxa"/>
            <w:shd w:val="clear" w:color="auto" w:fill="D9D9D9" w:themeFill="background1" w:themeFillShade="D9"/>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Stage</w:t>
            </w:r>
          </w:p>
        </w:tc>
        <w:tc>
          <w:tcPr>
            <w:tcW w:w="4142" w:type="dxa"/>
            <w:shd w:val="clear" w:color="auto" w:fill="D9D9D9" w:themeFill="background1" w:themeFillShade="D9"/>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Timescale</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 xml:space="preserve">Overview and Scrutiny Place  Committee </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14</w:t>
            </w:r>
            <w:r w:rsidRPr="00523002">
              <w:rPr>
                <w:rFonts w:eastAsiaTheme="minorHAnsi" w:cs="Arial"/>
                <w:szCs w:val="24"/>
                <w:vertAlign w:val="superscript"/>
                <w:lang w:eastAsia="en-US"/>
              </w:rPr>
              <w:t>th</w:t>
            </w:r>
            <w:r w:rsidRPr="00523002">
              <w:rPr>
                <w:rFonts w:eastAsiaTheme="minorHAnsi" w:cs="Arial"/>
                <w:szCs w:val="24"/>
                <w:lang w:eastAsia="en-US"/>
              </w:rPr>
              <w:t xml:space="preserve"> June 2022</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 xml:space="preserve">Portfolio holder - Approval for 6 weeks public consultation </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TBC June / July 2022</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Commence public consultation (6 weeks)</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July / August 2022</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Review comments received and amend draft SPD as required</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September / October 2022</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Finalise SPD</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October / November 2022</w:t>
            </w:r>
          </w:p>
        </w:tc>
      </w:tr>
      <w:tr w:rsidR="00523002" w:rsidRPr="00523002" w:rsidTr="001613E5">
        <w:tc>
          <w:tcPr>
            <w:tcW w:w="4154"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Portfolio holder – Approval to adopt SPD</w:t>
            </w:r>
          </w:p>
        </w:tc>
        <w:tc>
          <w:tcPr>
            <w:tcW w:w="4142" w:type="dxa"/>
          </w:tcPr>
          <w:p w:rsidR="00523002" w:rsidRPr="00523002" w:rsidRDefault="00523002" w:rsidP="00523002">
            <w:pPr>
              <w:pStyle w:val="ListParagraph"/>
              <w:ind w:left="360"/>
              <w:rPr>
                <w:rFonts w:eastAsiaTheme="minorHAnsi" w:cs="Arial"/>
                <w:szCs w:val="24"/>
                <w:lang w:eastAsia="en-US"/>
              </w:rPr>
            </w:pPr>
            <w:r w:rsidRPr="00523002">
              <w:rPr>
                <w:rFonts w:eastAsiaTheme="minorHAnsi" w:cs="Arial"/>
                <w:szCs w:val="24"/>
                <w:lang w:eastAsia="en-US"/>
              </w:rPr>
              <w:t>November / December 2022</w:t>
            </w:r>
          </w:p>
        </w:tc>
      </w:tr>
    </w:tbl>
    <w:p w:rsidR="002048D1" w:rsidRDefault="002048D1" w:rsidP="002048D1">
      <w:pPr>
        <w:pStyle w:val="ListParagraph"/>
        <w:ind w:left="360"/>
        <w:rPr>
          <w:rFonts w:eastAsiaTheme="minorHAnsi" w:cs="Arial"/>
          <w:sz w:val="24"/>
          <w:szCs w:val="24"/>
          <w:lang w:eastAsia="en-US"/>
        </w:rPr>
      </w:pPr>
    </w:p>
    <w:p w:rsidR="002048D1" w:rsidRDefault="002048D1" w:rsidP="002048D1">
      <w:pPr>
        <w:pStyle w:val="ListParagraph"/>
        <w:ind w:left="709"/>
        <w:rPr>
          <w:rFonts w:eastAsiaTheme="minorHAnsi" w:cs="Arial"/>
          <w:sz w:val="24"/>
          <w:szCs w:val="24"/>
          <w:lang w:eastAsia="en-US"/>
        </w:rPr>
      </w:pPr>
    </w:p>
    <w:p w:rsidR="002048D1" w:rsidRDefault="00E54D0B" w:rsidP="002048D1">
      <w:pPr>
        <w:pStyle w:val="ListParagraph"/>
        <w:numPr>
          <w:ilvl w:val="1"/>
          <w:numId w:val="2"/>
        </w:numPr>
        <w:ind w:left="709" w:hanging="715"/>
        <w:rPr>
          <w:rFonts w:eastAsiaTheme="minorHAnsi" w:cs="Arial"/>
          <w:sz w:val="24"/>
          <w:szCs w:val="24"/>
          <w:lang w:eastAsia="en-US"/>
        </w:rPr>
      </w:pPr>
      <w:r w:rsidRPr="002048D1">
        <w:rPr>
          <w:rFonts w:eastAsiaTheme="minorHAnsi" w:cs="Arial"/>
          <w:sz w:val="24"/>
          <w:szCs w:val="24"/>
          <w:lang w:eastAsia="en-US"/>
        </w:rPr>
        <w:t xml:space="preserve">Following </w:t>
      </w:r>
      <w:r w:rsidR="00E138C1" w:rsidRPr="002048D1">
        <w:rPr>
          <w:rFonts w:eastAsiaTheme="minorHAnsi" w:cs="Arial"/>
          <w:sz w:val="24"/>
          <w:szCs w:val="24"/>
          <w:lang w:eastAsia="en-US"/>
        </w:rPr>
        <w:t>Overview &amp; Scrutiny Committee (Place)</w:t>
      </w:r>
      <w:r w:rsidRPr="002048D1">
        <w:rPr>
          <w:rFonts w:eastAsiaTheme="minorHAnsi" w:cs="Arial"/>
          <w:sz w:val="24"/>
          <w:szCs w:val="24"/>
          <w:lang w:eastAsia="en-US"/>
        </w:rPr>
        <w:t xml:space="preserve">, it is proposed that the </w:t>
      </w:r>
      <w:proofErr w:type="spellStart"/>
      <w:r w:rsidRPr="002048D1">
        <w:rPr>
          <w:rFonts w:eastAsiaTheme="minorHAnsi" w:cs="Arial"/>
          <w:sz w:val="24"/>
          <w:szCs w:val="24"/>
          <w:lang w:eastAsia="en-US"/>
        </w:rPr>
        <w:t>SuDS</w:t>
      </w:r>
      <w:proofErr w:type="spellEnd"/>
      <w:r w:rsidRPr="002048D1">
        <w:rPr>
          <w:rFonts w:eastAsiaTheme="minorHAnsi" w:cs="Arial"/>
          <w:sz w:val="24"/>
          <w:szCs w:val="24"/>
          <w:lang w:eastAsia="en-US"/>
        </w:rPr>
        <w:t xml:space="preserve"> SPD will be presented to the Portfolio Holder for Regeneration and Growth seeking approval to go out for public consultation on the document in the summer for a period of 6 weeks (as set out in the timetable at the beginning of this paper).  The consultation will seek the opinions and representations of local communities, businesses and other key stakeholders. </w:t>
      </w:r>
    </w:p>
    <w:p w:rsidR="002048D1" w:rsidRDefault="002048D1" w:rsidP="002048D1">
      <w:pPr>
        <w:pStyle w:val="ListParagraph"/>
        <w:ind w:left="709"/>
        <w:rPr>
          <w:rFonts w:eastAsiaTheme="minorHAnsi" w:cs="Arial"/>
          <w:sz w:val="24"/>
          <w:szCs w:val="24"/>
          <w:lang w:eastAsia="en-US"/>
        </w:rPr>
      </w:pPr>
    </w:p>
    <w:p w:rsidR="00E54D0B" w:rsidRPr="002048D1" w:rsidRDefault="00E54D0B" w:rsidP="002048D1">
      <w:pPr>
        <w:pStyle w:val="ListParagraph"/>
        <w:numPr>
          <w:ilvl w:val="1"/>
          <w:numId w:val="2"/>
        </w:numPr>
        <w:ind w:left="709" w:hanging="715"/>
        <w:rPr>
          <w:rFonts w:eastAsiaTheme="minorHAnsi" w:cs="Arial"/>
          <w:sz w:val="24"/>
          <w:szCs w:val="24"/>
          <w:lang w:eastAsia="en-US"/>
        </w:rPr>
      </w:pPr>
      <w:r w:rsidRPr="002048D1">
        <w:rPr>
          <w:rFonts w:eastAsiaTheme="minorHAnsi" w:cs="Arial"/>
          <w:sz w:val="24"/>
          <w:szCs w:val="24"/>
          <w:lang w:eastAsia="en-US"/>
        </w:rPr>
        <w:t>Whilst the statutory period for consulting on SPDs is 4 weeks, it is considered that 6 weeks would be consistent with the approach taken when consulting on other planning documents. The consultation will be undertaken in line with the approach set out in the adopted Statement of Community Involvement (SCI). Following this period, a consultation statement will be prepared which sets out the responses received and the document will be amended where appropriate.  The final version of the SPD will subsequently be presented to the Portfolio Holder for Regeneration and Growth seeking approval for its adoption.</w:t>
      </w:r>
      <w:r w:rsidRPr="002048D1">
        <w:rPr>
          <w:rFonts w:eastAsiaTheme="minorHAnsi" w:cs="Arial"/>
          <w:lang w:eastAsia="en-US"/>
        </w:rPr>
        <w:t xml:space="preserve"> </w:t>
      </w:r>
    </w:p>
    <w:p w:rsidR="00E54D0B" w:rsidRDefault="00E54D0B" w:rsidP="00E54D0B">
      <w:pPr>
        <w:ind w:left="720" w:hanging="720"/>
        <w:rPr>
          <w:rFonts w:eastAsiaTheme="minorHAnsi" w:cs="Arial"/>
          <w:lang w:eastAsia="en-US"/>
        </w:rPr>
      </w:pPr>
    </w:p>
    <w:p w:rsidR="00541F75" w:rsidRPr="00541F75" w:rsidRDefault="00541F75" w:rsidP="00541F75">
      <w:pPr>
        <w:ind w:left="720" w:hanging="720"/>
        <w:rPr>
          <w:rFonts w:eastAsiaTheme="minorHAnsi" w:cs="Arial"/>
          <w:b/>
          <w:sz w:val="24"/>
          <w:szCs w:val="24"/>
          <w:lang w:eastAsia="en-US"/>
        </w:rPr>
      </w:pPr>
      <w:r w:rsidRPr="00541F75">
        <w:rPr>
          <w:rFonts w:eastAsiaTheme="minorHAnsi" w:cs="Arial"/>
          <w:b/>
          <w:sz w:val="24"/>
          <w:szCs w:val="24"/>
          <w:lang w:eastAsia="en-US"/>
        </w:rPr>
        <w:t>5.</w:t>
      </w:r>
      <w:r w:rsidRPr="00541F75">
        <w:rPr>
          <w:rFonts w:eastAsiaTheme="minorHAnsi" w:cs="Arial"/>
          <w:b/>
          <w:sz w:val="24"/>
          <w:szCs w:val="24"/>
          <w:lang w:eastAsia="en-US"/>
        </w:rPr>
        <w:tab/>
        <w:t>CONSULTATION</w:t>
      </w:r>
    </w:p>
    <w:p w:rsidR="00541F75" w:rsidRPr="00541F75" w:rsidRDefault="00541F75" w:rsidP="00541F75">
      <w:pPr>
        <w:ind w:left="720" w:hanging="720"/>
        <w:rPr>
          <w:rFonts w:eastAsiaTheme="minorHAnsi" w:cs="Arial"/>
          <w:b/>
          <w:sz w:val="24"/>
          <w:szCs w:val="24"/>
          <w:lang w:eastAsia="en-US"/>
        </w:rPr>
      </w:pPr>
    </w:p>
    <w:p w:rsidR="00541F75" w:rsidRPr="00541F75" w:rsidRDefault="00541F75" w:rsidP="00541F75">
      <w:pPr>
        <w:ind w:left="720" w:hanging="720"/>
        <w:rPr>
          <w:rFonts w:eastAsiaTheme="minorHAnsi" w:cs="Arial"/>
          <w:sz w:val="24"/>
          <w:szCs w:val="24"/>
          <w:lang w:eastAsia="en-US"/>
        </w:rPr>
      </w:pPr>
      <w:r w:rsidRPr="00541F75">
        <w:rPr>
          <w:rFonts w:eastAsiaTheme="minorHAnsi" w:cs="Arial"/>
          <w:sz w:val="24"/>
          <w:szCs w:val="24"/>
          <w:lang w:eastAsia="en-US"/>
        </w:rPr>
        <w:tab/>
        <w:t>None</w:t>
      </w:r>
    </w:p>
    <w:p w:rsidR="00541F75" w:rsidRPr="00541F75" w:rsidRDefault="00541F75" w:rsidP="00541F75">
      <w:pPr>
        <w:ind w:left="720" w:hanging="720"/>
        <w:rPr>
          <w:rFonts w:eastAsiaTheme="minorHAnsi" w:cs="Arial"/>
          <w:sz w:val="24"/>
          <w:szCs w:val="24"/>
          <w:lang w:eastAsia="en-US"/>
        </w:rPr>
      </w:pPr>
    </w:p>
    <w:p w:rsidR="00541F75" w:rsidRPr="00541F75" w:rsidRDefault="00541F75" w:rsidP="00541F75">
      <w:pPr>
        <w:ind w:left="720" w:hanging="720"/>
        <w:rPr>
          <w:rFonts w:eastAsiaTheme="minorHAnsi" w:cs="Arial"/>
          <w:b/>
          <w:sz w:val="24"/>
          <w:szCs w:val="24"/>
          <w:lang w:eastAsia="en-US"/>
        </w:rPr>
      </w:pPr>
      <w:r w:rsidRPr="00541F75">
        <w:rPr>
          <w:rFonts w:eastAsiaTheme="minorHAnsi" w:cs="Arial"/>
          <w:b/>
          <w:sz w:val="24"/>
          <w:szCs w:val="24"/>
          <w:lang w:eastAsia="en-US"/>
        </w:rPr>
        <w:t>6.</w:t>
      </w:r>
      <w:r w:rsidRPr="00541F75">
        <w:rPr>
          <w:rFonts w:eastAsiaTheme="minorHAnsi" w:cs="Arial"/>
          <w:b/>
          <w:sz w:val="24"/>
          <w:szCs w:val="24"/>
          <w:lang w:eastAsia="en-US"/>
        </w:rPr>
        <w:tab/>
        <w:t>BACKGROUND PAPERS</w:t>
      </w:r>
    </w:p>
    <w:p w:rsidR="00541F75" w:rsidRPr="00541F75" w:rsidRDefault="00541F75" w:rsidP="00541F75">
      <w:pPr>
        <w:ind w:left="720" w:hanging="720"/>
        <w:rPr>
          <w:rFonts w:eastAsiaTheme="minorHAnsi" w:cs="Arial"/>
          <w:sz w:val="24"/>
          <w:szCs w:val="24"/>
          <w:lang w:eastAsia="en-US"/>
        </w:rPr>
      </w:pPr>
    </w:p>
    <w:p w:rsidR="00541F75" w:rsidRPr="00541F75" w:rsidRDefault="00541F75" w:rsidP="00541F75">
      <w:pPr>
        <w:ind w:left="720" w:hanging="720"/>
        <w:rPr>
          <w:rFonts w:eastAsiaTheme="minorHAnsi" w:cs="Arial"/>
          <w:sz w:val="24"/>
          <w:szCs w:val="24"/>
          <w:lang w:eastAsia="en-US"/>
        </w:rPr>
      </w:pPr>
      <w:r w:rsidRPr="00541F75">
        <w:rPr>
          <w:rFonts w:eastAsiaTheme="minorHAnsi" w:cs="Arial"/>
          <w:sz w:val="24"/>
          <w:szCs w:val="24"/>
          <w:lang w:eastAsia="en-US"/>
        </w:rPr>
        <w:t>None</w:t>
      </w:r>
    </w:p>
    <w:p w:rsidR="00E54D0B" w:rsidRPr="007D6108" w:rsidRDefault="00E54D0B" w:rsidP="00E54D0B">
      <w:pPr>
        <w:rPr>
          <w:rFonts w:cs="Arial"/>
          <w:sz w:val="24"/>
          <w:szCs w:val="24"/>
        </w:rPr>
      </w:pPr>
    </w:p>
    <w:tbl>
      <w:tblPr>
        <w:tblW w:w="0" w:type="auto"/>
        <w:tblLook w:val="01E0" w:firstRow="1" w:lastRow="1" w:firstColumn="1" w:lastColumn="1" w:noHBand="0" w:noVBand="0"/>
      </w:tblPr>
      <w:tblGrid>
        <w:gridCol w:w="1788"/>
        <w:gridCol w:w="296"/>
        <w:gridCol w:w="6910"/>
      </w:tblGrid>
      <w:tr w:rsidR="00E54D0B" w:rsidRPr="00BC2009" w:rsidTr="00362413">
        <w:tc>
          <w:tcPr>
            <w:tcW w:w="1788" w:type="dxa"/>
            <w:shd w:val="clear" w:color="auto" w:fill="auto"/>
          </w:tcPr>
          <w:p w:rsidR="00E54D0B" w:rsidRPr="00BC2009" w:rsidRDefault="00E54D0B" w:rsidP="00362413">
            <w:pPr>
              <w:rPr>
                <w:rFonts w:cs="Arial"/>
                <w:sz w:val="24"/>
                <w:szCs w:val="24"/>
              </w:rPr>
            </w:pPr>
            <w:r>
              <w:rPr>
                <w:rFonts w:cs="Arial"/>
                <w:sz w:val="24"/>
                <w:szCs w:val="24"/>
              </w:rPr>
              <w:t>R</w:t>
            </w:r>
            <w:r w:rsidRPr="00BC2009">
              <w:rPr>
                <w:rFonts w:cs="Arial"/>
                <w:sz w:val="24"/>
                <w:szCs w:val="24"/>
              </w:rPr>
              <w:t>eport Author</w:t>
            </w:r>
          </w:p>
        </w:tc>
        <w:tc>
          <w:tcPr>
            <w:tcW w:w="296" w:type="dxa"/>
            <w:shd w:val="clear" w:color="auto" w:fill="auto"/>
          </w:tcPr>
          <w:p w:rsidR="00E54D0B" w:rsidRPr="00BC2009" w:rsidRDefault="00E54D0B" w:rsidP="00362413">
            <w:pPr>
              <w:rPr>
                <w:rFonts w:cs="Arial"/>
                <w:sz w:val="24"/>
                <w:szCs w:val="24"/>
              </w:rPr>
            </w:pPr>
            <w:r w:rsidRPr="00BC2009">
              <w:rPr>
                <w:rFonts w:cs="Arial"/>
                <w:sz w:val="24"/>
                <w:szCs w:val="24"/>
              </w:rPr>
              <w:t>-</w:t>
            </w:r>
          </w:p>
        </w:tc>
        <w:tc>
          <w:tcPr>
            <w:tcW w:w="6910" w:type="dxa"/>
            <w:shd w:val="clear" w:color="auto" w:fill="auto"/>
          </w:tcPr>
          <w:p w:rsidR="00E54D0B" w:rsidRPr="00BC2009" w:rsidRDefault="00E54D0B" w:rsidP="00362413">
            <w:pPr>
              <w:rPr>
                <w:rFonts w:cs="Arial"/>
                <w:sz w:val="24"/>
                <w:szCs w:val="24"/>
              </w:rPr>
            </w:pPr>
            <w:r>
              <w:rPr>
                <w:rFonts w:cs="Arial"/>
                <w:sz w:val="24"/>
                <w:szCs w:val="24"/>
              </w:rPr>
              <w:t xml:space="preserve">Paul Tebbitt </w:t>
            </w:r>
          </w:p>
        </w:tc>
      </w:tr>
      <w:tr w:rsidR="00E54D0B" w:rsidRPr="00BC2009" w:rsidTr="00362413">
        <w:tc>
          <w:tcPr>
            <w:tcW w:w="1788" w:type="dxa"/>
            <w:shd w:val="clear" w:color="auto" w:fill="auto"/>
          </w:tcPr>
          <w:p w:rsidR="00E54D0B" w:rsidRPr="00BC2009" w:rsidRDefault="00E54D0B" w:rsidP="00362413">
            <w:pPr>
              <w:rPr>
                <w:rFonts w:cs="Arial"/>
                <w:sz w:val="24"/>
                <w:szCs w:val="24"/>
              </w:rPr>
            </w:pPr>
            <w:r w:rsidRPr="00BC2009">
              <w:rPr>
                <w:rFonts w:cs="Arial"/>
                <w:sz w:val="24"/>
                <w:szCs w:val="24"/>
              </w:rPr>
              <w:t>Designation</w:t>
            </w:r>
          </w:p>
        </w:tc>
        <w:tc>
          <w:tcPr>
            <w:tcW w:w="296" w:type="dxa"/>
            <w:shd w:val="clear" w:color="auto" w:fill="auto"/>
          </w:tcPr>
          <w:p w:rsidR="00E54D0B" w:rsidRPr="00BC2009" w:rsidRDefault="00E54D0B" w:rsidP="00362413">
            <w:pPr>
              <w:rPr>
                <w:rFonts w:cs="Arial"/>
                <w:sz w:val="24"/>
                <w:szCs w:val="24"/>
              </w:rPr>
            </w:pPr>
            <w:r w:rsidRPr="00BC2009">
              <w:rPr>
                <w:rFonts w:cs="Arial"/>
                <w:sz w:val="24"/>
                <w:szCs w:val="24"/>
              </w:rPr>
              <w:t>-</w:t>
            </w:r>
          </w:p>
        </w:tc>
        <w:tc>
          <w:tcPr>
            <w:tcW w:w="6910" w:type="dxa"/>
            <w:shd w:val="clear" w:color="auto" w:fill="auto"/>
          </w:tcPr>
          <w:p w:rsidR="00E54D0B" w:rsidRPr="00BC2009" w:rsidRDefault="00E54D0B" w:rsidP="00362413">
            <w:pPr>
              <w:rPr>
                <w:rFonts w:cs="Arial"/>
                <w:sz w:val="24"/>
                <w:szCs w:val="24"/>
              </w:rPr>
            </w:pPr>
            <w:r>
              <w:rPr>
                <w:rFonts w:cs="Arial"/>
                <w:sz w:val="24"/>
                <w:szCs w:val="24"/>
              </w:rPr>
              <w:t xml:space="preserve">Interim Planning Policy Team Leader </w:t>
            </w:r>
          </w:p>
        </w:tc>
      </w:tr>
      <w:tr w:rsidR="00E54D0B" w:rsidRPr="00BC2009" w:rsidTr="00362413">
        <w:tc>
          <w:tcPr>
            <w:tcW w:w="1788" w:type="dxa"/>
            <w:shd w:val="clear" w:color="auto" w:fill="auto"/>
          </w:tcPr>
          <w:p w:rsidR="00E54D0B" w:rsidRPr="00BC2009" w:rsidRDefault="00E54D0B" w:rsidP="00362413">
            <w:pPr>
              <w:rPr>
                <w:rFonts w:cs="Arial"/>
                <w:sz w:val="24"/>
                <w:szCs w:val="24"/>
              </w:rPr>
            </w:pPr>
            <w:r w:rsidRPr="00BC2009">
              <w:rPr>
                <w:rFonts w:cs="Arial"/>
                <w:sz w:val="24"/>
                <w:szCs w:val="24"/>
              </w:rPr>
              <w:t>E-mail</w:t>
            </w:r>
          </w:p>
        </w:tc>
        <w:tc>
          <w:tcPr>
            <w:tcW w:w="296" w:type="dxa"/>
            <w:shd w:val="clear" w:color="auto" w:fill="auto"/>
          </w:tcPr>
          <w:p w:rsidR="00E54D0B" w:rsidRPr="00BC2009" w:rsidRDefault="00E54D0B" w:rsidP="00362413">
            <w:pPr>
              <w:rPr>
                <w:rFonts w:cs="Arial"/>
                <w:sz w:val="24"/>
                <w:szCs w:val="24"/>
              </w:rPr>
            </w:pPr>
            <w:r w:rsidRPr="00BC2009">
              <w:rPr>
                <w:rFonts w:cs="Arial"/>
                <w:sz w:val="24"/>
                <w:szCs w:val="24"/>
              </w:rPr>
              <w:t>-</w:t>
            </w:r>
          </w:p>
        </w:tc>
        <w:tc>
          <w:tcPr>
            <w:tcW w:w="6910" w:type="dxa"/>
            <w:shd w:val="clear" w:color="auto" w:fill="auto"/>
          </w:tcPr>
          <w:p w:rsidR="00E54D0B" w:rsidRPr="00BC2009" w:rsidRDefault="00BC42AD" w:rsidP="00082241">
            <w:pPr>
              <w:rPr>
                <w:rFonts w:cs="Arial"/>
                <w:sz w:val="24"/>
                <w:szCs w:val="24"/>
              </w:rPr>
            </w:pPr>
            <w:hyperlink r:id="rId5" w:history="1">
              <w:r w:rsidR="00E54D0B" w:rsidRPr="00240E5A">
                <w:rPr>
                  <w:rStyle w:val="Hyperlink"/>
                  <w:sz w:val="24"/>
                  <w:szCs w:val="24"/>
                </w:rPr>
                <w:t>ptebbitt@mansfield.gov.uk</w:t>
              </w:r>
            </w:hyperlink>
            <w:r w:rsidR="00E54D0B">
              <w:rPr>
                <w:sz w:val="24"/>
                <w:szCs w:val="24"/>
              </w:rPr>
              <w:t xml:space="preserve"> </w:t>
            </w:r>
          </w:p>
        </w:tc>
      </w:tr>
    </w:tbl>
    <w:p w:rsidR="00A26136" w:rsidRDefault="00A26136" w:rsidP="00082241"/>
    <w:sectPr w:rsidR="00A2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C32"/>
    <w:multiLevelType w:val="hybridMultilevel"/>
    <w:tmpl w:val="781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3FD5"/>
    <w:multiLevelType w:val="multilevel"/>
    <w:tmpl w:val="2BA6F7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8617D"/>
    <w:multiLevelType w:val="hybridMultilevel"/>
    <w:tmpl w:val="A9BC0D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4D13D04"/>
    <w:multiLevelType w:val="multilevel"/>
    <w:tmpl w:val="8CD0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4325E"/>
    <w:multiLevelType w:val="multilevel"/>
    <w:tmpl w:val="7292D558"/>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37642"/>
    <w:multiLevelType w:val="multilevel"/>
    <w:tmpl w:val="272897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B"/>
    <w:rsid w:val="00082241"/>
    <w:rsid w:val="00146BB9"/>
    <w:rsid w:val="001B4ED2"/>
    <w:rsid w:val="002048D1"/>
    <w:rsid w:val="00523002"/>
    <w:rsid w:val="00541F75"/>
    <w:rsid w:val="006A46A5"/>
    <w:rsid w:val="00790553"/>
    <w:rsid w:val="00862CFF"/>
    <w:rsid w:val="009703DF"/>
    <w:rsid w:val="00A26136"/>
    <w:rsid w:val="00AC7876"/>
    <w:rsid w:val="00BC42AD"/>
    <w:rsid w:val="00DC5886"/>
    <w:rsid w:val="00E138C1"/>
    <w:rsid w:val="00E5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DCF4F-8DDD-4BFE-805E-5A6D908E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D0B"/>
    <w:pPr>
      <w:spacing w:after="0" w:line="240" w:lineRule="auto"/>
      <w:jc w:val="both"/>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D0B"/>
    <w:pPr>
      <w:ind w:left="720"/>
      <w:contextualSpacing/>
    </w:pPr>
  </w:style>
  <w:style w:type="table" w:styleId="TableGrid">
    <w:name w:val="Table Grid"/>
    <w:basedOn w:val="TableNormal"/>
    <w:uiPriority w:val="59"/>
    <w:rsid w:val="00E54D0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D0B"/>
    <w:rPr>
      <w:color w:val="0563C1" w:themeColor="hyperlink"/>
      <w:u w:val="single"/>
    </w:rPr>
  </w:style>
  <w:style w:type="character" w:styleId="CommentReference">
    <w:name w:val="annotation reference"/>
    <w:uiPriority w:val="99"/>
    <w:rsid w:val="009703DF"/>
    <w:rPr>
      <w:sz w:val="16"/>
      <w:szCs w:val="16"/>
    </w:rPr>
  </w:style>
  <w:style w:type="paragraph" w:styleId="CommentText">
    <w:name w:val="annotation text"/>
    <w:basedOn w:val="Normal"/>
    <w:link w:val="CommentTextChar"/>
    <w:uiPriority w:val="99"/>
    <w:rsid w:val="009703DF"/>
    <w:rPr>
      <w:sz w:val="20"/>
      <w:szCs w:val="20"/>
    </w:rPr>
  </w:style>
  <w:style w:type="character" w:customStyle="1" w:styleId="CommentTextChar">
    <w:name w:val="Comment Text Char"/>
    <w:basedOn w:val="DefaultParagraphFont"/>
    <w:link w:val="CommentText"/>
    <w:uiPriority w:val="99"/>
    <w:rsid w:val="009703DF"/>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970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DF"/>
    <w:rPr>
      <w:rFonts w:ascii="Segoe UI" w:eastAsia="Times New Roman" w:hAnsi="Segoe UI" w:cs="Segoe UI"/>
      <w:sz w:val="18"/>
      <w:szCs w:val="18"/>
      <w:lang w:eastAsia="en-GB"/>
    </w:rPr>
  </w:style>
  <w:style w:type="paragraph" w:customStyle="1" w:styleId="CharChar">
    <w:name w:val="Char Char"/>
    <w:basedOn w:val="Normal"/>
    <w:rsid w:val="00862CFF"/>
    <w:pPr>
      <w:spacing w:after="160" w:line="240" w:lineRule="exact"/>
      <w:jc w:val="left"/>
    </w:pPr>
    <w:rPr>
      <w:rFonts w:ascii="Verdana" w:hAnsi="Verdana" w:cs="Verdana"/>
      <w:sz w:val="20"/>
      <w:szCs w:val="20"/>
      <w:lang w:val="en-US" w:eastAsia="en-US"/>
    </w:rPr>
  </w:style>
  <w:style w:type="paragraph" w:styleId="BodyTextIndent">
    <w:name w:val="Body Text Indent"/>
    <w:basedOn w:val="Normal"/>
    <w:link w:val="BodyTextIndentChar"/>
    <w:rsid w:val="00862CFF"/>
    <w:pPr>
      <w:ind w:left="720"/>
      <w:jc w:val="left"/>
    </w:pPr>
    <w:rPr>
      <w:rFonts w:ascii="Times New Roman" w:hAnsi="Times New Roman"/>
      <w:sz w:val="24"/>
      <w:szCs w:val="20"/>
      <w:lang w:eastAsia="en-US"/>
    </w:rPr>
  </w:style>
  <w:style w:type="character" w:customStyle="1" w:styleId="BodyTextIndentChar">
    <w:name w:val="Body Text Indent Char"/>
    <w:basedOn w:val="DefaultParagraphFont"/>
    <w:link w:val="BodyTextIndent"/>
    <w:rsid w:val="00862C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tebbitt@mans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Tebbitt</dc:creator>
  <cp:keywords/>
  <dc:description/>
  <cp:lastModifiedBy>Gabriella Wright</cp:lastModifiedBy>
  <cp:revision>2</cp:revision>
  <dcterms:created xsi:type="dcterms:W3CDTF">2022-06-06T07:11:00Z</dcterms:created>
  <dcterms:modified xsi:type="dcterms:W3CDTF">2022-06-06T07:11:00Z</dcterms:modified>
</cp:coreProperties>
</file>